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hAnsi="Calibri" w:cs="Calibri"/>
        </w:rPr>
        <w:id w:val="1794076"/>
        <w:docPartObj>
          <w:docPartGallery w:val="Cover Pages"/>
          <w:docPartUnique/>
        </w:docPartObj>
      </w:sdtPr>
      <w:sdtEndPr>
        <w:rPr>
          <w:bCs/>
        </w:rPr>
      </w:sdtEndPr>
      <w:sdtContent>
        <w:p w:rsidR="0060600E" w:rsidRPr="007B68D4" w:rsidRDefault="0060600E" w:rsidP="0060600E">
          <w:pPr>
            <w:jc w:val="center"/>
            <w:rPr>
              <w:rFonts w:ascii="Calibri" w:hAnsi="Calibri" w:cs="Calibri"/>
            </w:rPr>
          </w:pPr>
          <w:r w:rsidRPr="007B68D4">
            <w:rPr>
              <w:rFonts w:ascii="Calibri" w:hAnsi="Calibri" w:cs="Calibri"/>
              <w:noProof/>
              <w:lang w:eastAsia="tr-TR"/>
            </w:rPr>
            <mc:AlternateContent>
              <mc:Choice Requires="wps">
                <w:drawing>
                  <wp:anchor distT="0" distB="0" distL="114300" distR="114300" simplePos="0" relativeHeight="251663360" behindDoc="1" locked="0" layoutInCell="1" allowOverlap="1" wp14:anchorId="03B976C7" wp14:editId="7D0E627E">
                    <wp:simplePos x="0" y="0"/>
                    <wp:positionH relativeFrom="page">
                      <wp:posOffset>9525</wp:posOffset>
                    </wp:positionH>
                    <wp:positionV relativeFrom="page">
                      <wp:posOffset>66675</wp:posOffset>
                    </wp:positionV>
                    <wp:extent cx="7772400" cy="10058400"/>
                    <wp:effectExtent l="0" t="0" r="1905"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75pt;margin-top:5.25pt;width:612pt;height:11in;z-index:-25165312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" stroked="f" strokeweight="2pt">
                    <v:fill r:id="rId16" o:title="" recolor="t" rotate="t" type="frame"/>
                    <v:imagedata recolortarget="#3f3f3f [801]"/>
                    <w10:wrap anchorx="page" anchory="page"/>
                  </v:rect>
                </w:pict>
              </mc:Fallback>
            </mc:AlternateContent>
          </w:r>
          <w:r w:rsidRPr="007B68D4">
            <w:rPr>
              <w:rFonts w:ascii="Calibri" w:hAnsi="Calibri" w:cs="Calibri"/>
              <w:noProof/>
              <w:lang w:eastAsia="tr-TR"/>
            </w:rPr>
            <mc:AlternateContent>
              <mc:Choice Requires="wps">
                <w:drawing>
                  <wp:anchor distT="0" distB="0" distL="114300" distR="114300" simplePos="0" relativeHeight="251665408" behindDoc="0" locked="0" layoutInCell="1" allowOverlap="1" wp14:anchorId="2BE57070" wp14:editId="1C174B7C">
                    <wp:simplePos x="0" y="0"/>
                    <wp:positionH relativeFrom="page">
                      <wp:posOffset>666750</wp:posOffset>
                    </wp:positionH>
                    <wp:positionV relativeFrom="page">
                      <wp:posOffset>0</wp:posOffset>
                    </wp:positionV>
                    <wp:extent cx="6274435" cy="2486025"/>
                    <wp:effectExtent l="0" t="0" r="0" b="9525"/>
                    <wp:wrapNone/>
                    <wp:docPr id="54" name="Dikdörtgen 54"/>
                    <wp:cNvGraphicFramePr/>
                    <a:graphic xmlns:a="http://schemas.openxmlformats.org/drawingml/2006/main">
                      <a:graphicData uri="http://schemas.microsoft.com/office/word/2010/wordprocessingShape">
                        <wps:wsp>
                          <wps:cNvSpPr/>
                          <wps:spPr>
                            <a:xfrm>
                              <a:off x="0" y="0"/>
                              <a:ext cx="6274435" cy="2486025"/>
                            </a:xfrm>
                            <a:prstGeom prst="rect">
                              <a:avLst/>
                            </a:prstGeom>
                            <a:solidFill>
                              <a:srgbClr val="4F81BD"/>
                            </a:solidFill>
                            <a:ln w="25400" cap="flat" cmpd="sng" algn="ctr">
                              <a:noFill/>
                              <a:prstDash val="solid"/>
                            </a:ln>
                            <a:effectLst/>
                          </wps:spPr>
                          <wps:txbx>
                            <w:txbxContent>
                              <w:p w:rsidR="00055B1C" w:rsidRDefault="00055B1C" w:rsidP="0060600E">
                                <w:pPr>
                                  <w:jc w:val="center"/>
                                </w:pPr>
                              </w:p>
                              <w:p w:rsidR="00055B1C" w:rsidRDefault="00055B1C" w:rsidP="0060600E">
                                <w:pPr>
                                  <w:jc w:val="center"/>
                                </w:pPr>
                                <w:r>
                                  <w:rPr>
                                    <w:noProof/>
                                    <w:lang w:eastAsia="tr-TR"/>
                                  </w:rPr>
                                  <w:drawing>
                                    <wp:inline distT="0" distB="0" distL="0" distR="0" wp14:anchorId="76434282" wp14:editId="0D5B77AE">
                                      <wp:extent cx="1332000" cy="1332000"/>
                                      <wp:effectExtent l="0" t="0" r="1905" b="1905"/>
                                      <wp:docPr id="8" name="Resim 8" descr="C:\Users\ETUD01\Desktop\KTO\KTO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UD01\Desktop\KTO\KTO LOGO\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rsidR="00055B1C" w:rsidRPr="004D3708" w:rsidRDefault="00055B1C" w:rsidP="0060600E">
                                <w:pPr>
                                  <w:jc w:val="center"/>
                                  <w:rPr>
                                    <w:sz w:val="40"/>
                                  </w:rPr>
                                </w:pPr>
                                <w:r w:rsidRPr="004D3708">
                                  <w:rPr>
                                    <w:sz w:val="40"/>
                                  </w:rPr>
                                  <w:t>KONYA TİCARET ODASI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Dikdörtgen 54" o:spid="_x0000_s1027" style="position:absolute;left:0;text-align:left;margin-left:52.5pt;margin-top:0;width:494.05pt;height:19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" fillcolor="#4f81bd" stroked="f" strokeweight="2pt">
                    <v:textbox>
                      <w:txbxContent>
                        <w:p w:rsidR="001710FC" w:rsidRDefault="001710FC" w:rsidP="0060600E">
                          <w:pPr>
                            <w:jc w:val="center"/>
                          </w:pPr>
                        </w:p>
                        <w:p w:rsidR="001710FC" w:rsidRDefault="001710FC" w:rsidP="0060600E">
                          <w:pPr>
                            <w:jc w:val="center"/>
                          </w:pPr>
                          <w:r>
                            <w:rPr>
                              <w:noProof/>
                              <w:lang w:eastAsia="tr-TR"/>
                            </w:rPr>
                            <w:drawing>
                              <wp:inline distT="0" distB="0" distL="0" distR="0" wp14:anchorId="76434282" wp14:editId="0D5B77AE">
                                <wp:extent cx="1332000" cy="1332000"/>
                                <wp:effectExtent l="0" t="0" r="1905" b="1905"/>
                                <wp:docPr id="8" name="Resim 8" descr="C:\Users\ETUD01\Desktop\KTO\KTO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UD01\Desktop\KTO\KTO LOGO\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rsidR="001710FC" w:rsidRPr="004D3708" w:rsidRDefault="001710FC" w:rsidP="0060600E">
                          <w:pPr>
                            <w:jc w:val="center"/>
                            <w:rPr>
                              <w:sz w:val="40"/>
                            </w:rPr>
                          </w:pPr>
                          <w:r w:rsidRPr="004D3708">
                            <w:rPr>
                              <w:sz w:val="40"/>
                            </w:rPr>
                            <w:t>KONYA TİCARET ODASI</w:t>
                          </w:r>
                        </w:p>
                      </w:txbxContent>
                    </v:textbox>
                    <w10:wrap anchorx="page" anchory="page"/>
                  </v:rect>
                </w:pict>
              </mc:Fallback>
            </mc:AlternateContent>
          </w:r>
        </w:p>
        <w:p w:rsidR="0060600E" w:rsidRPr="007B68D4" w:rsidRDefault="0060600E" w:rsidP="0060600E">
          <w:pPr>
            <w:jc w:val="center"/>
            <w:rPr>
              <w:rFonts w:ascii="Calibri" w:hAnsi="Calibri" w:cs="Calibri"/>
              <w:sz w:val="40"/>
            </w:rPr>
          </w:pPr>
        </w:p>
        <w:p w:rsidR="0060600E" w:rsidRPr="007B68D4" w:rsidRDefault="0060600E" w:rsidP="0060600E">
          <w:pPr>
            <w:rPr>
              <w:rFonts w:ascii="Calibri" w:hAnsi="Calibri" w:cs="Calibri"/>
              <w:b/>
            </w:rPr>
            <w:sectPr w:rsidR="0060600E" w:rsidRPr="007B68D4" w:rsidSect="002A470B">
              <w:footerReference w:type="default" r:id="rId19"/>
              <w:footerReference w:type="first" r:id="rId20"/>
              <w:pgSz w:w="11907" w:h="16840"/>
              <w:pgMar w:top="1417" w:right="1417" w:bottom="1417" w:left="1134" w:header="709" w:footer="709" w:gutter="0"/>
              <w:pgNumType w:fmt="lowerRoman" w:start="0"/>
              <w:cols w:space="708"/>
              <w:titlePg/>
              <w:docGrid w:linePitch="360"/>
            </w:sectPr>
          </w:pPr>
          <w:r w:rsidRPr="007B68D4">
            <w:rPr>
              <w:rFonts w:ascii="Calibri" w:hAnsi="Calibri" w:cs="Calibri"/>
              <w:noProof/>
              <w:lang w:eastAsia="tr-TR"/>
            </w:rPr>
            <mc:AlternateContent>
              <mc:Choice Requires="wps">
                <w:drawing>
                  <wp:anchor distT="0" distB="0" distL="114300" distR="114300" simplePos="0" relativeHeight="251666432" behindDoc="0" locked="0" layoutInCell="0" allowOverlap="1" wp14:anchorId="44B7A2DF" wp14:editId="53F02226">
                    <wp:simplePos x="0" y="0"/>
                    <wp:positionH relativeFrom="page">
                      <wp:posOffset>872490</wp:posOffset>
                    </wp:positionH>
                    <wp:positionV relativeFrom="page">
                      <wp:posOffset>4462145</wp:posOffset>
                    </wp:positionV>
                    <wp:extent cx="5554980" cy="3698240"/>
                    <wp:effectExtent l="0" t="0" r="26670" b="13335"/>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3698240"/>
                            </a:xfrm>
                            <a:prstGeom prst="rect">
                              <a:avLst/>
                            </a:prstGeom>
                            <a:solidFill>
                              <a:schemeClr val="tx2">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txbx>
                            <w:txbxContent>
                              <w:p w:rsidR="00055B1C" w:rsidRPr="0060600E" w:rsidRDefault="00055B1C" w:rsidP="0060600E">
                                <w:pPr>
                                  <w:spacing w:line="360" w:lineRule="auto"/>
                                  <w:jc w:val="center"/>
                                  <w:rPr>
                                    <w:rFonts w:asciiTheme="majorHAnsi" w:eastAsiaTheme="majorEastAsia" w:hAnsiTheme="majorHAnsi" w:cstheme="majorBidi"/>
                                    <w:b/>
                                    <w:iCs/>
                                    <w:sz w:val="48"/>
                                    <w:szCs w:val="28"/>
                                  </w:rPr>
                                </w:pPr>
                                <w:r w:rsidRPr="0060600E">
                                  <w:rPr>
                                    <w:rFonts w:asciiTheme="majorHAnsi" w:eastAsiaTheme="majorEastAsia" w:hAnsiTheme="majorHAnsi" w:cstheme="majorBidi"/>
                                    <w:b/>
                                    <w:iCs/>
                                    <w:sz w:val="48"/>
                                    <w:szCs w:val="28"/>
                                  </w:rPr>
                                  <w:t>İÇİNDEKİLER</w:t>
                                </w:r>
                              </w:p>
                              <w:p w:rsidR="00055B1C" w:rsidRPr="00A37B75" w:rsidRDefault="00055B1C"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1- Konya Perakende Güven Endeksi</w:t>
                                </w:r>
                                <w:r>
                                  <w:rPr>
                                    <w:rFonts w:asciiTheme="majorHAnsi" w:eastAsiaTheme="majorEastAsia" w:hAnsiTheme="majorHAnsi" w:cstheme="majorBidi"/>
                                    <w:i/>
                                    <w:iCs/>
                                    <w:sz w:val="44"/>
                                    <w:szCs w:val="28"/>
                                  </w:rPr>
                                  <w:t xml:space="preserve"> (KOPE)</w:t>
                                </w:r>
                              </w:p>
                              <w:p w:rsidR="00055B1C" w:rsidRPr="00A37B75" w:rsidRDefault="00055B1C"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2- Konya İstihdam İzleme Bülteni</w:t>
                                </w:r>
                              </w:p>
                              <w:p w:rsidR="00055B1C" w:rsidRPr="00A37B75" w:rsidRDefault="00055B1C"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3- Konya Dış Ticaret Bülteni</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68.7pt;margin-top:351.35pt;width:437.4pt;height:29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" o:allowincell="f" fillcolor="#c6d9f1 [671]" strokecolor="#4f81bd [3204]" strokeweight="2pt">
                    <v:textbox style="mso-fit-shape-to-text:t" inset="10.8pt,7.2pt,10.8pt,7.2pt">
                      <w:txbxContent>
                        <w:p w:rsidR="001710FC" w:rsidRPr="0060600E" w:rsidRDefault="001710FC" w:rsidP="0060600E">
                          <w:pPr>
                            <w:spacing w:line="360" w:lineRule="auto"/>
                            <w:jc w:val="center"/>
                            <w:rPr>
                              <w:rFonts w:asciiTheme="majorHAnsi" w:eastAsiaTheme="majorEastAsia" w:hAnsiTheme="majorHAnsi" w:cstheme="majorBidi"/>
                              <w:b/>
                              <w:iCs/>
                              <w:sz w:val="48"/>
                              <w:szCs w:val="28"/>
                            </w:rPr>
                          </w:pPr>
                          <w:r w:rsidRPr="0060600E">
                            <w:rPr>
                              <w:rFonts w:asciiTheme="majorHAnsi" w:eastAsiaTheme="majorEastAsia" w:hAnsiTheme="majorHAnsi" w:cstheme="majorBidi"/>
                              <w:b/>
                              <w:iCs/>
                              <w:sz w:val="48"/>
                              <w:szCs w:val="28"/>
                            </w:rPr>
                            <w:t>İÇİNDEKİLER</w:t>
                          </w:r>
                        </w:p>
                        <w:p w:rsidR="001710FC" w:rsidRPr="00A37B75" w:rsidRDefault="001710FC"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1- Konya Perakende Güven Endeksi</w:t>
                          </w:r>
                          <w:r>
                            <w:rPr>
                              <w:rFonts w:asciiTheme="majorHAnsi" w:eastAsiaTheme="majorEastAsia" w:hAnsiTheme="majorHAnsi" w:cstheme="majorBidi"/>
                              <w:i/>
                              <w:iCs/>
                              <w:sz w:val="44"/>
                              <w:szCs w:val="28"/>
                            </w:rPr>
                            <w:t xml:space="preserve"> (KOPE)</w:t>
                          </w:r>
                        </w:p>
                        <w:p w:rsidR="001710FC" w:rsidRPr="00A37B75" w:rsidRDefault="001710FC"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2- Konya İstihdam İzleme Bülteni</w:t>
                          </w:r>
                        </w:p>
                        <w:p w:rsidR="001710FC" w:rsidRPr="00A37B75" w:rsidRDefault="001710FC" w:rsidP="0060600E">
                          <w:pPr>
                            <w:spacing w:line="360" w:lineRule="auto"/>
                            <w:jc w:val="center"/>
                            <w:rPr>
                              <w:rFonts w:asciiTheme="majorHAnsi" w:eastAsiaTheme="majorEastAsia" w:hAnsiTheme="majorHAnsi" w:cstheme="majorBidi"/>
                              <w:i/>
                              <w:iCs/>
                              <w:sz w:val="44"/>
                              <w:szCs w:val="28"/>
                            </w:rPr>
                          </w:pPr>
                          <w:r w:rsidRPr="00A37B75">
                            <w:rPr>
                              <w:rFonts w:asciiTheme="majorHAnsi" w:eastAsiaTheme="majorEastAsia" w:hAnsiTheme="majorHAnsi" w:cstheme="majorBidi"/>
                              <w:i/>
                              <w:iCs/>
                              <w:sz w:val="44"/>
                              <w:szCs w:val="28"/>
                            </w:rPr>
                            <w:t>3- Konya Dış Ticaret Bülteni</w:t>
                          </w:r>
                        </w:p>
                      </w:txbxContent>
                    </v:textbox>
                    <w10:wrap type="square" anchorx="page" anchory="page"/>
                  </v:shape>
                </w:pict>
              </mc:Fallback>
            </mc:AlternateContent>
          </w:r>
          <w:r w:rsidRPr="007B68D4">
            <w:rPr>
              <w:rFonts w:ascii="Calibri" w:hAnsi="Calibri" w:cs="Calibri"/>
              <w:noProof/>
              <w:lang w:eastAsia="tr-TR"/>
            </w:rPr>
            <mc:AlternateContent>
              <mc:Choice Requires="wps">
                <w:drawing>
                  <wp:anchor distT="0" distB="0" distL="114300" distR="114300" simplePos="0" relativeHeight="251664384" behindDoc="0" locked="0" layoutInCell="1" allowOverlap="1" wp14:anchorId="48C3EEC8" wp14:editId="1FAC38EA">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68pt;height:2.85pt;z-index:2516643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7B68D4">
            <w:rPr>
              <w:rFonts w:ascii="Calibri" w:hAnsi="Calibri" w:cs="Calibri"/>
              <w:bCs/>
            </w:rPr>
            <w:br w:type="page"/>
          </w:r>
        </w:p>
      </w:sdtContent>
    </w:sdt>
    <w:p w:rsidR="003E4444" w:rsidRPr="003127E7" w:rsidRDefault="003E4444" w:rsidP="003E4444">
      <w:pPr>
        <w:pStyle w:val="Balk1"/>
        <w:spacing w:before="0" w:line="240" w:lineRule="auto"/>
        <w:ind w:left="7080" w:right="-1320"/>
        <w:rPr>
          <w:rFonts w:asciiTheme="minorHAnsi" w:hAnsiTheme="minorHAnsi" w:cs="Arial"/>
          <w:color w:val="002060"/>
        </w:rPr>
      </w:pPr>
      <w:r>
        <w:rPr>
          <w:rFonts w:asciiTheme="minorHAnsi" w:hAnsiTheme="minorHAnsi" w:cs="Arial"/>
          <w:color w:val="002060"/>
          <w:sz w:val="36"/>
        </w:rPr>
        <w:lastRenderedPageBreak/>
        <w:t xml:space="preserve">     </w:t>
      </w:r>
      <w:r w:rsidRPr="003127E7">
        <w:rPr>
          <w:rFonts w:asciiTheme="minorHAnsi" w:hAnsiTheme="minorHAnsi" w:cs="Arial"/>
          <w:color w:val="002060"/>
          <w:sz w:val="36"/>
        </w:rPr>
        <w:t>HABER BÜLTENİ</w:t>
      </w:r>
    </w:p>
    <w:p w:rsidR="003E4444" w:rsidRPr="00AD7D54" w:rsidRDefault="003E4444" w:rsidP="003E4444">
      <w:pPr>
        <w:pStyle w:val="Balk1"/>
        <w:spacing w:before="0" w:line="240" w:lineRule="auto"/>
        <w:ind w:right="-1200"/>
        <w:rPr>
          <w:rFonts w:asciiTheme="minorHAnsi" w:hAnsiTheme="minorHAnsi" w:cs="Arial"/>
          <w:color w:val="002060"/>
        </w:rPr>
      </w:pPr>
      <w:r>
        <w:rPr>
          <w:b w:val="0"/>
          <w:noProof/>
          <w:lang w:eastAsia="tr-TR"/>
        </w:rPr>
        <mc:AlternateContent>
          <mc:Choice Requires="wps">
            <w:drawing>
              <wp:anchor distT="0" distB="0" distL="114300" distR="114300" simplePos="0" relativeHeight="251677696" behindDoc="0" locked="0" layoutInCell="1" allowOverlap="1" wp14:anchorId="713BC6A1" wp14:editId="1D40076D">
                <wp:simplePos x="0" y="0"/>
                <wp:positionH relativeFrom="column">
                  <wp:posOffset>-856615</wp:posOffset>
                </wp:positionH>
                <wp:positionV relativeFrom="paragraph">
                  <wp:posOffset>19050</wp:posOffset>
                </wp:positionV>
                <wp:extent cx="5662295" cy="0"/>
                <wp:effectExtent l="33655" t="36195" r="28575" b="3048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2295" cy="0"/>
                        </a:xfrm>
                        <a:prstGeom prst="straightConnector1">
                          <a:avLst/>
                        </a:prstGeom>
                        <a:noFill/>
                        <a:ln w="571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7.45pt;margin-top:1.5pt;width:445.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" strokecolor="#002060" strokeweight="4.5pt"/>
            </w:pict>
          </mc:Fallback>
        </mc:AlternateContent>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t xml:space="preserve">  </w:t>
      </w:r>
      <w:r w:rsidRPr="003127E7">
        <w:rPr>
          <w:rFonts w:asciiTheme="minorHAnsi" w:hAnsiTheme="minorHAnsi" w:cs="Arial"/>
          <w:sz w:val="24"/>
        </w:rPr>
        <w:t xml:space="preserve"> </w:t>
      </w:r>
      <w:r>
        <w:rPr>
          <w:rFonts w:asciiTheme="minorHAnsi" w:hAnsiTheme="minorHAnsi" w:cs="Arial"/>
          <w:sz w:val="24"/>
        </w:rPr>
        <w:t xml:space="preserve">          </w:t>
      </w:r>
      <w:r w:rsidR="00F11B70">
        <w:rPr>
          <w:rFonts w:asciiTheme="minorHAnsi" w:hAnsiTheme="minorHAnsi" w:cs="Arial"/>
          <w:color w:val="002060"/>
        </w:rPr>
        <w:t>08</w:t>
      </w:r>
      <w:r>
        <w:rPr>
          <w:rFonts w:asciiTheme="minorHAnsi" w:hAnsiTheme="minorHAnsi" w:cs="Arial"/>
          <w:color w:val="002060"/>
        </w:rPr>
        <w:t>.11.</w:t>
      </w:r>
      <w:proofErr w:type="gramStart"/>
      <w:r>
        <w:rPr>
          <w:rFonts w:asciiTheme="minorHAnsi" w:hAnsiTheme="minorHAnsi" w:cs="Arial"/>
          <w:color w:val="002060"/>
        </w:rPr>
        <w:t xml:space="preserve">2012      </w:t>
      </w:r>
      <w:r w:rsidRPr="003127E7">
        <w:rPr>
          <w:rFonts w:asciiTheme="minorHAnsi" w:hAnsiTheme="minorHAnsi" w:cs="Arial"/>
          <w:color w:val="002060"/>
        </w:rPr>
        <w:t>Sayı</w:t>
      </w:r>
      <w:proofErr w:type="gramEnd"/>
      <w:r w:rsidRPr="003127E7">
        <w:rPr>
          <w:rFonts w:asciiTheme="minorHAnsi" w:hAnsiTheme="minorHAnsi" w:cs="Arial"/>
          <w:color w:val="002060"/>
        </w:rPr>
        <w:t xml:space="preserve"> </w:t>
      </w:r>
      <w:r>
        <w:rPr>
          <w:rFonts w:asciiTheme="minorHAnsi" w:hAnsiTheme="minorHAnsi" w:cs="Arial"/>
          <w:color w:val="002060"/>
        </w:rPr>
        <w:t>9</w:t>
      </w:r>
    </w:p>
    <w:p w:rsidR="00FC1B6B" w:rsidRDefault="00FC1B6B" w:rsidP="003E4444">
      <w:pPr>
        <w:jc w:val="both"/>
        <w:rPr>
          <w:sz w:val="24"/>
        </w:rPr>
      </w:pPr>
    </w:p>
    <w:p w:rsidR="003E4444" w:rsidRDefault="003E4444" w:rsidP="003E4444">
      <w:pPr>
        <w:jc w:val="both"/>
        <w:rPr>
          <w:sz w:val="24"/>
        </w:rPr>
      </w:pPr>
      <w:r w:rsidRPr="000F08B4">
        <w:rPr>
          <w:sz w:val="24"/>
        </w:rPr>
        <w:t>Konya Ticaret Odası (KTO) ve Türkiye Ekonomi Politikaları Araştırma Vakfı (TEPAV)</w:t>
      </w:r>
      <w:r>
        <w:rPr>
          <w:sz w:val="24"/>
        </w:rPr>
        <w:t xml:space="preserve"> işbirliğinde gerçekleştirilen</w:t>
      </w:r>
      <w:r w:rsidRPr="000F08B4">
        <w:rPr>
          <w:sz w:val="24"/>
        </w:rPr>
        <w:t xml:space="preserve"> Konya Perakende Güven Endeksi Anketi (KOPE) </w:t>
      </w:r>
      <w:r>
        <w:rPr>
          <w:sz w:val="24"/>
        </w:rPr>
        <w:t xml:space="preserve">Türkiye’nin, yerel düzeyde perakende sektöründeki eğilimleri ölçen ilk gösterge olarak </w:t>
      </w:r>
      <w:r w:rsidRPr="000F08B4">
        <w:rPr>
          <w:sz w:val="24"/>
        </w:rPr>
        <w:t xml:space="preserve">Konya’da faaliyet gösteren perakendecilerin nabzı </w:t>
      </w:r>
      <w:r>
        <w:rPr>
          <w:sz w:val="24"/>
        </w:rPr>
        <w:t>9 aydır tutmaya devam ediyor</w:t>
      </w:r>
      <w:r w:rsidRPr="000F08B4">
        <w:rPr>
          <w:sz w:val="24"/>
        </w:rPr>
        <w:t>.</w:t>
      </w:r>
      <w:r>
        <w:rPr>
          <w:sz w:val="24"/>
        </w:rPr>
        <w:t xml:space="preserve"> </w:t>
      </w:r>
      <w:r w:rsidRPr="000F08B4">
        <w:rPr>
          <w:sz w:val="24"/>
        </w:rPr>
        <w:t>Konya</w:t>
      </w:r>
      <w:r>
        <w:rPr>
          <w:sz w:val="24"/>
        </w:rPr>
        <w:t xml:space="preserve"> </w:t>
      </w:r>
      <w:r w:rsidRPr="000F08B4">
        <w:rPr>
          <w:sz w:val="24"/>
        </w:rPr>
        <w:t>Perakende Güven Endeksi (KOPE) ile Konya’daki perakende sektörünün Türkiye ve Avrupa Birliği üye ülkeleri ile karşılaş</w:t>
      </w:r>
      <w:r>
        <w:rPr>
          <w:sz w:val="24"/>
        </w:rPr>
        <w:t>tırılması mümkün hale gelmiştir</w:t>
      </w:r>
      <w:r w:rsidRPr="000F08B4">
        <w:rPr>
          <w:sz w:val="24"/>
        </w:rPr>
        <w:t xml:space="preserve">. </w:t>
      </w:r>
    </w:p>
    <w:p w:rsidR="003E4444" w:rsidRDefault="003E4444" w:rsidP="003E4444">
      <w:pPr>
        <w:jc w:val="both"/>
        <w:rPr>
          <w:sz w:val="24"/>
        </w:rPr>
      </w:pPr>
      <w:r w:rsidRPr="000F08B4">
        <w:rPr>
          <w:sz w:val="24"/>
        </w:rPr>
        <w:t xml:space="preserve">Konya Perakende </w:t>
      </w:r>
      <w:r>
        <w:rPr>
          <w:sz w:val="24"/>
        </w:rPr>
        <w:t xml:space="preserve">Güven Endeksi </w:t>
      </w:r>
      <w:r w:rsidRPr="000F08B4">
        <w:rPr>
          <w:sz w:val="24"/>
        </w:rPr>
        <w:t xml:space="preserve">Anketi </w:t>
      </w:r>
      <w:r>
        <w:rPr>
          <w:sz w:val="24"/>
        </w:rPr>
        <w:t xml:space="preserve">kapsamında </w:t>
      </w:r>
      <w:r w:rsidRPr="000F08B4">
        <w:rPr>
          <w:sz w:val="24"/>
        </w:rPr>
        <w:t>Konya’nın merkez ilçeleri olan Karatay, Meram ve Selçuklu’da yiyecek, içecek ve tütün ür</w:t>
      </w:r>
      <w:r>
        <w:rPr>
          <w:sz w:val="24"/>
        </w:rPr>
        <w:t xml:space="preserve">ünleri, tekstil, hazır giyim ve </w:t>
      </w:r>
      <w:r w:rsidRPr="000F08B4">
        <w:rPr>
          <w:sz w:val="24"/>
        </w:rPr>
        <w:t xml:space="preserve">ayakkabı, elektrikli ev aletleri, radyo ve televizyonlar, BYS mobilya, aydınlatma </w:t>
      </w:r>
      <w:proofErr w:type="gramStart"/>
      <w:r w:rsidRPr="000F08B4">
        <w:rPr>
          <w:sz w:val="24"/>
        </w:rPr>
        <w:t>ekipmanı</w:t>
      </w:r>
      <w:proofErr w:type="gramEnd"/>
      <w:r w:rsidRPr="000F08B4">
        <w:rPr>
          <w:sz w:val="24"/>
        </w:rPr>
        <w:t xml:space="preserve"> ve ev içi kullanım ürünleri, motorlu taşıtlar, birden fazla çeşit türde ürün satan büyük mağazalar ve diğer sektörlerde faaliyet gösteren 300 perakendeci ile her a</w:t>
      </w:r>
      <w:r>
        <w:rPr>
          <w:sz w:val="24"/>
        </w:rPr>
        <w:t>y yüz yüze anketler yapılmaktadır.</w:t>
      </w:r>
    </w:p>
    <w:p w:rsidR="003E4444" w:rsidRDefault="003E4444" w:rsidP="003E4444">
      <w:pPr>
        <w:pStyle w:val="Balk2"/>
        <w:spacing w:before="0" w:after="240" w:line="240" w:lineRule="auto"/>
        <w:rPr>
          <w:rFonts w:asciiTheme="minorHAnsi" w:hAnsiTheme="minorHAnsi" w:cs="Arial"/>
          <w:color w:val="0070C0"/>
          <w:sz w:val="28"/>
        </w:rPr>
      </w:pPr>
      <w:r>
        <w:rPr>
          <w:rFonts w:asciiTheme="minorHAnsi" w:hAnsiTheme="minorHAnsi" w:cs="Arial"/>
          <w:color w:val="0070C0"/>
          <w:sz w:val="28"/>
        </w:rPr>
        <w:t>Konya perakendesi Ekim ayında da düşmeye devam etti:</w:t>
      </w:r>
    </w:p>
    <w:p w:rsidR="003E4444" w:rsidRDefault="00EF5C37" w:rsidP="003E4444">
      <w:pPr>
        <w:spacing w:after="240"/>
        <w:jc w:val="both"/>
        <w:rPr>
          <w:sz w:val="24"/>
        </w:rPr>
      </w:pPr>
      <w:r>
        <w:rPr>
          <w:sz w:val="24"/>
        </w:rPr>
        <w:t>Ekim</w:t>
      </w:r>
      <w:r w:rsidR="003E4444">
        <w:rPr>
          <w:sz w:val="24"/>
        </w:rPr>
        <w:t xml:space="preserve"> ayında Konya Perakende Güven Endeksi sıfırın altında 4,1 değerini alırken Türkiye genelini temsil eden TEPAV Perakende Güven Endeksi sıfırın altında 1,3 değerini almıştır. Ekim ayında KOPE,  üst üste 2 ay </w:t>
      </w:r>
      <w:proofErr w:type="spellStart"/>
      <w:r w:rsidR="003E4444">
        <w:rPr>
          <w:sz w:val="24"/>
        </w:rPr>
        <w:t>TEPE’den</w:t>
      </w:r>
      <w:proofErr w:type="spellEnd"/>
      <w:r w:rsidR="003E4444">
        <w:rPr>
          <w:sz w:val="24"/>
        </w:rPr>
        <w:t xml:space="preserve"> daha düşük bir değer almış oldu. KOPE geçen aya göre 2,3 puan, TEPE ise geçen aya göre 1,8 puan düşmüştür. Temmuz 2012’de ilk kez sıfırın altına düşen KOPE, Ağustos ayında yükselmesine rağmen Eylül ayının ardından Ekim ayında da tekrar sıfırın altında değer almıştır. AB-27 Perakende Güven Endeksi Ekim 2012’de hem </w:t>
      </w:r>
      <w:proofErr w:type="spellStart"/>
      <w:r w:rsidR="003E4444">
        <w:rPr>
          <w:sz w:val="24"/>
        </w:rPr>
        <w:t>KOPE’nin</w:t>
      </w:r>
      <w:proofErr w:type="spellEnd"/>
      <w:r w:rsidR="003E4444">
        <w:rPr>
          <w:sz w:val="24"/>
        </w:rPr>
        <w:t xml:space="preserve"> hem de </w:t>
      </w:r>
      <w:proofErr w:type="spellStart"/>
      <w:r w:rsidR="003E4444">
        <w:rPr>
          <w:sz w:val="24"/>
        </w:rPr>
        <w:t>TEPE’nin</w:t>
      </w:r>
      <w:proofErr w:type="spellEnd"/>
      <w:r w:rsidR="003E4444">
        <w:rPr>
          <w:sz w:val="24"/>
        </w:rPr>
        <w:t xml:space="preserve"> altında kalmıştır. Hem Konya’nın hem de Türkiye’nin Avrupa Birliği’nden daha iyi performans sergilediği görülmektedir.</w:t>
      </w:r>
    </w:p>
    <w:p w:rsidR="003E4444" w:rsidRDefault="003E4444" w:rsidP="003E4444">
      <w:pPr>
        <w:tabs>
          <w:tab w:val="left" w:pos="8258"/>
        </w:tabs>
        <w:spacing w:after="0"/>
        <w:jc w:val="both"/>
      </w:pPr>
      <w:r w:rsidRPr="003127E7">
        <w:rPr>
          <w:b/>
        </w:rPr>
        <w:t>Şekil-1.</w:t>
      </w:r>
      <w:r w:rsidRPr="003127E7">
        <w:t xml:space="preserve"> </w:t>
      </w:r>
      <w:r>
        <w:t xml:space="preserve">KOPE ile </w:t>
      </w:r>
      <w:r w:rsidRPr="003127E7">
        <w:t>TEPE karşılaştırılması</w:t>
      </w:r>
      <w:r>
        <w:t>*</w:t>
      </w:r>
      <w:r w:rsidRPr="003127E7">
        <w:t xml:space="preserve"> (</w:t>
      </w:r>
      <w:r>
        <w:t>Şubat</w:t>
      </w:r>
      <w:r w:rsidRPr="003127E7">
        <w:t xml:space="preserve"> </w:t>
      </w:r>
      <w:r>
        <w:t>2012</w:t>
      </w:r>
      <w:r w:rsidRPr="003127E7">
        <w:t xml:space="preserve"> – </w:t>
      </w:r>
      <w:r>
        <w:t>Ekim</w:t>
      </w:r>
      <w:r w:rsidRPr="003127E7">
        <w:t xml:space="preserve"> </w:t>
      </w:r>
      <w:r>
        <w:t>2012</w:t>
      </w:r>
      <w:r w:rsidRPr="003127E7">
        <w:t>)</w:t>
      </w:r>
    </w:p>
    <w:p w:rsidR="003E4444" w:rsidRDefault="003E4444" w:rsidP="003E4444">
      <w:pPr>
        <w:tabs>
          <w:tab w:val="left" w:pos="8258"/>
        </w:tabs>
        <w:spacing w:after="0"/>
        <w:jc w:val="both"/>
      </w:pPr>
      <w:r w:rsidRPr="005F23BE">
        <w:rPr>
          <w:noProof/>
          <w:lang w:eastAsia="tr-TR"/>
        </w:rPr>
        <w:drawing>
          <wp:inline distT="0" distB="0" distL="0" distR="0" wp14:anchorId="3C699A85" wp14:editId="3A59A374">
            <wp:extent cx="5772150" cy="2276475"/>
            <wp:effectExtent l="19050" t="0" r="1905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4444" w:rsidRDefault="003E4444" w:rsidP="003E4444">
      <w:pPr>
        <w:tabs>
          <w:tab w:val="left" w:pos="8258"/>
        </w:tabs>
        <w:spacing w:after="0"/>
        <w:jc w:val="right"/>
        <w:rPr>
          <w:i/>
          <w:sz w:val="20"/>
        </w:rPr>
      </w:pPr>
      <w:r w:rsidRPr="00DE146F">
        <w:rPr>
          <w:i/>
          <w:sz w:val="20"/>
        </w:rPr>
        <w:t>*Mevsimsellikten arındırılmamış ser</w:t>
      </w:r>
      <w:r>
        <w:rPr>
          <w:i/>
          <w:sz w:val="20"/>
        </w:rPr>
        <w:t>iler</w:t>
      </w:r>
    </w:p>
    <w:p w:rsidR="003E4444" w:rsidRDefault="003E4444" w:rsidP="003E4444">
      <w:pPr>
        <w:tabs>
          <w:tab w:val="left" w:pos="8258"/>
        </w:tabs>
        <w:spacing w:after="0"/>
        <w:jc w:val="right"/>
        <w:rPr>
          <w:i/>
          <w:sz w:val="20"/>
        </w:rPr>
      </w:pPr>
    </w:p>
    <w:p w:rsidR="003E4444" w:rsidRPr="00A04455" w:rsidRDefault="003E4444" w:rsidP="003E4444">
      <w:pPr>
        <w:pStyle w:val="Balk2"/>
        <w:spacing w:before="0" w:after="240" w:line="240" w:lineRule="auto"/>
        <w:rPr>
          <w:rFonts w:asciiTheme="minorHAnsi" w:hAnsiTheme="minorHAnsi" w:cs="Arial"/>
          <w:color w:val="0070C0"/>
          <w:sz w:val="28"/>
        </w:rPr>
      </w:pPr>
      <w:r>
        <w:rPr>
          <w:rFonts w:asciiTheme="minorHAnsi" w:hAnsiTheme="minorHAnsi" w:cs="Arial"/>
          <w:color w:val="0070C0"/>
          <w:sz w:val="28"/>
        </w:rPr>
        <w:t>Gelecek 3 aydaki satış be</w:t>
      </w:r>
      <w:r w:rsidR="00FC1B6B">
        <w:rPr>
          <w:rFonts w:asciiTheme="minorHAnsi" w:hAnsiTheme="minorHAnsi" w:cs="Arial"/>
          <w:color w:val="0070C0"/>
          <w:sz w:val="28"/>
        </w:rPr>
        <w:t>klentileri sıfırın altına düştü</w:t>
      </w:r>
    </w:p>
    <w:p w:rsidR="003E4444" w:rsidRPr="003615F7" w:rsidRDefault="003E4444" w:rsidP="003E4444">
      <w:pPr>
        <w:spacing w:after="240"/>
        <w:jc w:val="both"/>
        <w:rPr>
          <w:sz w:val="24"/>
        </w:rPr>
      </w:pPr>
      <w:r w:rsidRPr="003615F7">
        <w:rPr>
          <w:sz w:val="24"/>
        </w:rPr>
        <w:t>E</w:t>
      </w:r>
      <w:r>
        <w:rPr>
          <w:sz w:val="24"/>
        </w:rPr>
        <w:t>kim</w:t>
      </w:r>
      <w:r w:rsidRPr="003615F7">
        <w:rPr>
          <w:sz w:val="24"/>
        </w:rPr>
        <w:t xml:space="preserve"> 2012</w:t>
      </w:r>
      <w:r>
        <w:rPr>
          <w:sz w:val="24"/>
        </w:rPr>
        <w:t>’de Konya’da faaliyet gösteren perakendecilerin</w:t>
      </w:r>
      <w:r w:rsidRPr="003615F7">
        <w:rPr>
          <w:sz w:val="24"/>
        </w:rPr>
        <w:t xml:space="preserve"> yüzde 3</w:t>
      </w:r>
      <w:r>
        <w:rPr>
          <w:sz w:val="24"/>
        </w:rPr>
        <w:t>4</w:t>
      </w:r>
      <w:r w:rsidRPr="003615F7">
        <w:rPr>
          <w:sz w:val="24"/>
        </w:rPr>
        <w:t>’</w:t>
      </w:r>
      <w:r>
        <w:rPr>
          <w:sz w:val="24"/>
        </w:rPr>
        <w:t>ü</w:t>
      </w:r>
      <w:r w:rsidRPr="003615F7">
        <w:rPr>
          <w:sz w:val="24"/>
        </w:rPr>
        <w:t xml:space="preserve"> önümüzdeki 3 ayda işlerinde iyileşme beklerken, işlerinde kötüleşme bekleyenlerin oranı yüzde </w:t>
      </w:r>
      <w:r>
        <w:rPr>
          <w:sz w:val="24"/>
        </w:rPr>
        <w:t>37</w:t>
      </w:r>
      <w:r w:rsidRPr="003615F7">
        <w:rPr>
          <w:sz w:val="24"/>
        </w:rPr>
        <w:t>,</w:t>
      </w:r>
      <w:r>
        <w:rPr>
          <w:sz w:val="24"/>
        </w:rPr>
        <w:t>3</w:t>
      </w:r>
      <w:r w:rsidRPr="003615F7">
        <w:rPr>
          <w:sz w:val="24"/>
        </w:rPr>
        <w:t xml:space="preserve"> düzeyinde</w:t>
      </w:r>
      <w:r>
        <w:rPr>
          <w:sz w:val="24"/>
        </w:rPr>
        <w:t>dir</w:t>
      </w:r>
      <w:r w:rsidRPr="003615F7">
        <w:rPr>
          <w:sz w:val="24"/>
        </w:rPr>
        <w:t xml:space="preserve">. </w:t>
      </w:r>
      <w:r>
        <w:rPr>
          <w:sz w:val="24"/>
        </w:rPr>
        <w:t>Gelecek 3 aydaki satış b</w:t>
      </w:r>
      <w:r w:rsidRPr="003615F7">
        <w:rPr>
          <w:sz w:val="24"/>
        </w:rPr>
        <w:t xml:space="preserve">eklentilerde </w:t>
      </w:r>
      <w:r>
        <w:rPr>
          <w:sz w:val="24"/>
        </w:rPr>
        <w:t xml:space="preserve">geçen aya </w:t>
      </w:r>
      <w:r w:rsidRPr="003615F7">
        <w:rPr>
          <w:sz w:val="24"/>
        </w:rPr>
        <w:t xml:space="preserve">göre </w:t>
      </w:r>
      <w:r>
        <w:rPr>
          <w:sz w:val="24"/>
        </w:rPr>
        <w:t>7,7</w:t>
      </w:r>
      <w:r w:rsidRPr="003615F7">
        <w:rPr>
          <w:sz w:val="24"/>
        </w:rPr>
        <w:t xml:space="preserve"> puanlık düşüş </w:t>
      </w:r>
      <w:r>
        <w:rPr>
          <w:sz w:val="24"/>
        </w:rPr>
        <w:t>olmuştur</w:t>
      </w:r>
      <w:r w:rsidRPr="003615F7">
        <w:rPr>
          <w:sz w:val="24"/>
        </w:rPr>
        <w:t>.</w:t>
      </w:r>
      <w:r>
        <w:rPr>
          <w:sz w:val="24"/>
        </w:rPr>
        <w:t xml:space="preserve"> Konya’da beklentiler Eylül ayında sonra Ekim ayında da Türkiye’ye oranla düşük değer almıştır.</w:t>
      </w:r>
    </w:p>
    <w:p w:rsidR="003E4444" w:rsidRDefault="003E4444" w:rsidP="003E4444">
      <w:pPr>
        <w:tabs>
          <w:tab w:val="left" w:pos="8258"/>
        </w:tabs>
        <w:spacing w:after="0"/>
        <w:jc w:val="both"/>
      </w:pPr>
      <w:r w:rsidRPr="003127E7">
        <w:rPr>
          <w:b/>
        </w:rPr>
        <w:t xml:space="preserve">Şekil-2. </w:t>
      </w:r>
      <w:r w:rsidRPr="003127E7">
        <w:t>Önümüzdeki 3 aya ilişkin beklenti</w:t>
      </w:r>
      <w:r>
        <w:t>*</w:t>
      </w:r>
      <w:r w:rsidRPr="003127E7">
        <w:t xml:space="preserve"> (%arttı – %azaldı)</w:t>
      </w:r>
      <w:r w:rsidRPr="003E2E4F">
        <w:rPr>
          <w:noProof/>
        </w:rPr>
        <w:t xml:space="preserve"> </w:t>
      </w:r>
      <w:r w:rsidRPr="003127E7">
        <w:t>(</w:t>
      </w:r>
      <w:r>
        <w:t>Şubat</w:t>
      </w:r>
      <w:r w:rsidRPr="003127E7">
        <w:t xml:space="preserve"> </w:t>
      </w:r>
      <w:r>
        <w:t>2012</w:t>
      </w:r>
      <w:r w:rsidRPr="003127E7">
        <w:t xml:space="preserve"> – </w:t>
      </w:r>
      <w:r>
        <w:t>Ekim</w:t>
      </w:r>
      <w:r w:rsidRPr="003127E7">
        <w:t xml:space="preserve"> </w:t>
      </w:r>
      <w:r>
        <w:t>2012</w:t>
      </w:r>
      <w:r w:rsidRPr="003127E7">
        <w:t>)</w:t>
      </w:r>
    </w:p>
    <w:p w:rsidR="003E4444" w:rsidRDefault="003E4444" w:rsidP="003E4444">
      <w:pPr>
        <w:tabs>
          <w:tab w:val="left" w:pos="8258"/>
        </w:tabs>
        <w:spacing w:after="0"/>
        <w:jc w:val="both"/>
      </w:pPr>
      <w:r w:rsidRPr="005F79CC">
        <w:rPr>
          <w:noProof/>
          <w:lang w:eastAsia="tr-TR"/>
        </w:rPr>
        <w:drawing>
          <wp:inline distT="0" distB="0" distL="0" distR="0" wp14:anchorId="1BE06964" wp14:editId="0B37E96A">
            <wp:extent cx="5772150" cy="2295525"/>
            <wp:effectExtent l="19050" t="0" r="19050"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4444" w:rsidRDefault="003E4444" w:rsidP="003E4444">
      <w:pPr>
        <w:tabs>
          <w:tab w:val="left" w:pos="8258"/>
        </w:tabs>
        <w:spacing w:after="0"/>
        <w:rPr>
          <w:noProof/>
        </w:rPr>
      </w:pPr>
    </w:p>
    <w:p w:rsidR="003E4444" w:rsidRPr="00A04455" w:rsidRDefault="003E4444" w:rsidP="003E4444">
      <w:pPr>
        <w:pStyle w:val="Balk2"/>
        <w:spacing w:before="0" w:after="240"/>
        <w:rPr>
          <w:rFonts w:asciiTheme="minorHAnsi" w:hAnsiTheme="minorHAnsi" w:cs="Arial"/>
          <w:color w:val="0070C0"/>
          <w:sz w:val="28"/>
        </w:rPr>
      </w:pPr>
      <w:r>
        <w:rPr>
          <w:rFonts w:asciiTheme="minorHAnsi" w:hAnsiTheme="minorHAnsi" w:cs="Arial"/>
          <w:color w:val="0070C0"/>
          <w:sz w:val="28"/>
        </w:rPr>
        <w:t>Geçen yıla göre iş</w:t>
      </w:r>
      <w:r w:rsidR="00FC1B6B">
        <w:rPr>
          <w:rFonts w:asciiTheme="minorHAnsi" w:hAnsiTheme="minorHAnsi" w:cs="Arial"/>
          <w:color w:val="0070C0"/>
          <w:sz w:val="28"/>
        </w:rPr>
        <w:t>lerin durumunda toparlanma oldu</w:t>
      </w:r>
    </w:p>
    <w:p w:rsidR="003E4444" w:rsidRPr="003247AE" w:rsidRDefault="003E4444" w:rsidP="003E4444">
      <w:pPr>
        <w:spacing w:after="240"/>
        <w:jc w:val="both"/>
        <w:rPr>
          <w:sz w:val="24"/>
        </w:rPr>
      </w:pPr>
      <w:r w:rsidRPr="003247AE">
        <w:rPr>
          <w:sz w:val="24"/>
        </w:rPr>
        <w:t xml:space="preserve">İşlerinin geçen yılın aynı dönemine göre arttığını belirtenlerin oranı </w:t>
      </w:r>
      <w:r>
        <w:rPr>
          <w:sz w:val="24"/>
        </w:rPr>
        <w:t>Ekim 2012’de yüzde 22,3</w:t>
      </w:r>
      <w:r w:rsidRPr="003247AE">
        <w:rPr>
          <w:sz w:val="24"/>
        </w:rPr>
        <w:t xml:space="preserve"> iken, azaldığını belirtenlerin oranı yüzde </w:t>
      </w:r>
      <w:r>
        <w:rPr>
          <w:sz w:val="24"/>
        </w:rPr>
        <w:t>52,3 olmuştur</w:t>
      </w:r>
      <w:r w:rsidRPr="003247AE">
        <w:rPr>
          <w:sz w:val="24"/>
        </w:rPr>
        <w:t xml:space="preserve">. İşlerin geçen yılın aynı dönemine kıyasla durumunda </w:t>
      </w:r>
      <w:r>
        <w:rPr>
          <w:sz w:val="24"/>
        </w:rPr>
        <w:t>Eylül</w:t>
      </w:r>
      <w:r w:rsidRPr="003247AE">
        <w:rPr>
          <w:sz w:val="24"/>
        </w:rPr>
        <w:t xml:space="preserve"> 2012’ye göre </w:t>
      </w:r>
      <w:r>
        <w:rPr>
          <w:sz w:val="24"/>
        </w:rPr>
        <w:t>4,3 puanlık artış olmuştur</w:t>
      </w:r>
      <w:r w:rsidRPr="003247AE">
        <w:rPr>
          <w:sz w:val="24"/>
        </w:rPr>
        <w:t xml:space="preserve">. </w:t>
      </w:r>
    </w:p>
    <w:p w:rsidR="003E4444" w:rsidRDefault="003E4444" w:rsidP="003E4444">
      <w:pPr>
        <w:tabs>
          <w:tab w:val="left" w:pos="8258"/>
        </w:tabs>
        <w:spacing w:after="0"/>
        <w:jc w:val="both"/>
      </w:pPr>
      <w:r w:rsidRPr="003127E7">
        <w:rPr>
          <w:b/>
        </w:rPr>
        <w:t>Şekil-3.</w:t>
      </w:r>
      <w:r>
        <w:t xml:space="preserve"> </w:t>
      </w:r>
      <w:r w:rsidRPr="003127E7">
        <w:t>İşlerin geçen yılın aynı dönemine göre durumu</w:t>
      </w:r>
      <w:r>
        <w:t>*</w:t>
      </w:r>
      <w:r w:rsidRPr="003127E7">
        <w:t xml:space="preserve"> (%arttı – %azaldı)</w:t>
      </w:r>
      <w:r>
        <w:t xml:space="preserve"> </w:t>
      </w:r>
      <w:r w:rsidRPr="003127E7">
        <w:t>(</w:t>
      </w:r>
      <w:r>
        <w:t>Şubat</w:t>
      </w:r>
      <w:r w:rsidRPr="003127E7">
        <w:t xml:space="preserve"> </w:t>
      </w:r>
      <w:r>
        <w:t>2012</w:t>
      </w:r>
      <w:r w:rsidRPr="003127E7">
        <w:t xml:space="preserve"> – </w:t>
      </w:r>
      <w:r>
        <w:t>Ekim</w:t>
      </w:r>
      <w:r w:rsidRPr="003127E7">
        <w:t xml:space="preserve"> </w:t>
      </w:r>
      <w:r>
        <w:t>2012</w:t>
      </w:r>
      <w:r w:rsidRPr="003127E7">
        <w:t>)</w:t>
      </w:r>
    </w:p>
    <w:p w:rsidR="003E4444" w:rsidRDefault="003E4444" w:rsidP="003E4444">
      <w:pPr>
        <w:tabs>
          <w:tab w:val="left" w:pos="8258"/>
        </w:tabs>
        <w:spacing w:after="0"/>
        <w:jc w:val="both"/>
      </w:pPr>
      <w:r w:rsidRPr="005F79CC">
        <w:rPr>
          <w:noProof/>
          <w:lang w:eastAsia="tr-TR"/>
        </w:rPr>
        <w:drawing>
          <wp:inline distT="0" distB="0" distL="0" distR="0" wp14:anchorId="7B0230F1" wp14:editId="1E1C788D">
            <wp:extent cx="5705475" cy="2466975"/>
            <wp:effectExtent l="19050" t="0" r="9525" b="0"/>
            <wp:docPr id="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E4444" w:rsidRDefault="003E4444" w:rsidP="003E4444">
      <w:pPr>
        <w:pStyle w:val="Balk2"/>
        <w:spacing w:after="240" w:line="240" w:lineRule="auto"/>
        <w:rPr>
          <w:rFonts w:asciiTheme="minorHAnsi" w:hAnsiTheme="minorHAnsi" w:cs="Arial"/>
          <w:color w:val="0070C0"/>
          <w:sz w:val="28"/>
        </w:rPr>
      </w:pPr>
    </w:p>
    <w:p w:rsidR="003E4444" w:rsidRDefault="003E4444" w:rsidP="003E4444">
      <w:pPr>
        <w:pStyle w:val="Balk2"/>
        <w:spacing w:after="240" w:line="240" w:lineRule="auto"/>
        <w:rPr>
          <w:rFonts w:asciiTheme="minorHAnsi" w:hAnsiTheme="minorHAnsi" w:cs="Arial"/>
          <w:color w:val="0070C0"/>
          <w:sz w:val="28"/>
        </w:rPr>
      </w:pPr>
      <w:r>
        <w:rPr>
          <w:rFonts w:asciiTheme="minorHAnsi" w:hAnsiTheme="minorHAnsi" w:cs="Arial"/>
          <w:color w:val="0070C0"/>
          <w:sz w:val="28"/>
        </w:rPr>
        <w:t>Ekim ayının lideri ba</w:t>
      </w:r>
      <w:r w:rsidR="00FC1B6B">
        <w:rPr>
          <w:rFonts w:asciiTheme="minorHAnsi" w:hAnsiTheme="minorHAnsi" w:cs="Arial"/>
          <w:color w:val="0070C0"/>
          <w:sz w:val="28"/>
        </w:rPr>
        <w:t>kkal, market ve büyük mağazalar</w:t>
      </w:r>
    </w:p>
    <w:p w:rsidR="003E4444" w:rsidRDefault="003E4444" w:rsidP="003E4444">
      <w:pPr>
        <w:spacing w:after="240"/>
        <w:jc w:val="both"/>
        <w:rPr>
          <w:sz w:val="24"/>
        </w:rPr>
      </w:pPr>
      <w:r>
        <w:rPr>
          <w:sz w:val="24"/>
        </w:rPr>
        <w:t xml:space="preserve">Konya’da perakende sektöründe Ekim ayında da en iyi performansı </w:t>
      </w:r>
      <w:r w:rsidRPr="00A74D7F">
        <w:rPr>
          <w:sz w:val="24"/>
        </w:rPr>
        <w:t>birden fazla türde ürün satan bakkal, market ve büyük mağazalar</w:t>
      </w:r>
      <w:r w:rsidRPr="00AA4500">
        <w:rPr>
          <w:sz w:val="24"/>
        </w:rPr>
        <w:t xml:space="preserve"> </w:t>
      </w:r>
      <w:r>
        <w:rPr>
          <w:sz w:val="24"/>
        </w:rPr>
        <w:t xml:space="preserve">alt sektörü sergilemiştir. Bu sektörü elektrikli ev aletleri, radyo ve televizyonlar alt sektörü takip etmiştir. Bu iki sektör dışındaki tüm sektörler Ekim ayında sıfırın altında değerler almışlardır. En olumsuz performansı ise motorlu taşıtlar alt sektörü sergilemiştir. Geçen aya göre en fazla artış mobilya, aydınlatma </w:t>
      </w:r>
      <w:proofErr w:type="gramStart"/>
      <w:r>
        <w:rPr>
          <w:sz w:val="24"/>
        </w:rPr>
        <w:t>ekipmanı</w:t>
      </w:r>
      <w:proofErr w:type="gramEnd"/>
      <w:r>
        <w:rPr>
          <w:sz w:val="24"/>
        </w:rPr>
        <w:t xml:space="preserve"> ve ev içi kullanım ürünleri alt sektöründe olmuştur. En fazla düşüş </w:t>
      </w:r>
      <w:r w:rsidRPr="00A74D7F">
        <w:rPr>
          <w:sz w:val="24"/>
        </w:rPr>
        <w:t>birden fazla türde ürün satan bakkal, market ve büyük mağazalar</w:t>
      </w:r>
      <w:r>
        <w:rPr>
          <w:sz w:val="24"/>
        </w:rPr>
        <w:t xml:space="preserve"> ve diğer </w:t>
      </w:r>
      <w:r w:rsidRPr="00F36CEF">
        <w:rPr>
          <w:sz w:val="24"/>
        </w:rPr>
        <w:t>(akaryakıt istasyonu, eczane, parfümeri, nalbur, züccaciye, kırtasiye, vb.</w:t>
      </w:r>
      <w:r>
        <w:rPr>
          <w:sz w:val="24"/>
        </w:rPr>
        <w:t>) alt sektörlerinde olmuştur.</w:t>
      </w:r>
    </w:p>
    <w:p w:rsidR="003E4444" w:rsidRDefault="003E4444" w:rsidP="003E4444">
      <w:pPr>
        <w:tabs>
          <w:tab w:val="left" w:pos="8258"/>
        </w:tabs>
        <w:spacing w:after="0"/>
        <w:jc w:val="both"/>
      </w:pPr>
      <w:r>
        <w:rPr>
          <w:b/>
        </w:rPr>
        <w:t>Tablo</w:t>
      </w:r>
      <w:r w:rsidRPr="003127E7">
        <w:rPr>
          <w:b/>
        </w:rPr>
        <w:t>-</w:t>
      </w:r>
      <w:r>
        <w:rPr>
          <w:b/>
        </w:rPr>
        <w:t>1</w:t>
      </w:r>
      <w:r w:rsidRPr="003127E7">
        <w:rPr>
          <w:b/>
        </w:rPr>
        <w:t>.</w:t>
      </w:r>
      <w:r w:rsidRPr="003127E7">
        <w:t xml:space="preserve"> </w:t>
      </w:r>
      <w:r>
        <w:t xml:space="preserve">Alt sektör bazında </w:t>
      </w:r>
      <w:proofErr w:type="spellStart"/>
      <w:r>
        <w:t>KOPE</w:t>
      </w:r>
      <w:r w:rsidRPr="003127E7">
        <w:t>’nin</w:t>
      </w:r>
      <w:proofErr w:type="spellEnd"/>
      <w:r w:rsidRPr="003127E7">
        <w:t xml:space="preserve"> </w:t>
      </w:r>
      <w:r>
        <w:t>Eylül</w:t>
      </w:r>
      <w:r w:rsidRPr="003127E7">
        <w:t xml:space="preserve"> </w:t>
      </w:r>
      <w:r>
        <w:t>2012’de bir önceki aya</w:t>
      </w:r>
      <w:r w:rsidRPr="003127E7">
        <w:t xml:space="preserve"> göre değişimi (puan)</w:t>
      </w:r>
      <w:r>
        <w:t>*</w:t>
      </w:r>
      <w:r w:rsidRPr="003127E7">
        <w:t xml:space="preserve"> </w:t>
      </w:r>
    </w:p>
    <w:tbl>
      <w:tblPr>
        <w:tblStyle w:val="OrtaKlavuz3-Vurgu1"/>
        <w:tblW w:w="9747" w:type="dxa"/>
        <w:tblLook w:val="04A0" w:firstRow="1" w:lastRow="0" w:firstColumn="1" w:lastColumn="0" w:noHBand="0" w:noVBand="1"/>
      </w:tblPr>
      <w:tblGrid>
        <w:gridCol w:w="5749"/>
        <w:gridCol w:w="1305"/>
        <w:gridCol w:w="1276"/>
        <w:gridCol w:w="1417"/>
      </w:tblGrid>
      <w:tr w:rsidR="003E4444" w:rsidTr="00FC1B6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E70905" w:rsidRDefault="003E4444" w:rsidP="00FC1B6B">
            <w:pPr>
              <w:rPr>
                <w:color w:val="auto"/>
                <w:sz w:val="24"/>
              </w:rPr>
            </w:pPr>
            <w:r>
              <w:rPr>
                <w:color w:val="auto"/>
              </w:rPr>
              <w:t>Sektörler Bazında Konya Perakende Güven Endeksi</w:t>
            </w:r>
          </w:p>
        </w:tc>
        <w:tc>
          <w:tcPr>
            <w:tcW w:w="1305" w:type="dxa"/>
            <w:vAlign w:val="center"/>
          </w:tcPr>
          <w:p w:rsidR="003E4444" w:rsidRDefault="003E4444" w:rsidP="00FC1B6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 (KOPE)</w:t>
            </w:r>
          </w:p>
          <w:p w:rsidR="003E4444" w:rsidRDefault="003E4444" w:rsidP="00FC1B6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Ekim</w:t>
            </w:r>
          </w:p>
          <w:p w:rsidR="003E4444" w:rsidRPr="00E70905" w:rsidRDefault="003E4444" w:rsidP="00FC1B6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2012</w:t>
            </w:r>
          </w:p>
        </w:tc>
        <w:tc>
          <w:tcPr>
            <w:tcW w:w="1276" w:type="dxa"/>
            <w:vAlign w:val="center"/>
          </w:tcPr>
          <w:p w:rsidR="003E4444" w:rsidRDefault="003E4444" w:rsidP="00FC1B6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  (KOPE)</w:t>
            </w:r>
          </w:p>
          <w:p w:rsidR="003E4444" w:rsidRPr="00E70905" w:rsidRDefault="003E4444" w:rsidP="00FC1B6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Eylül 2012</w:t>
            </w:r>
          </w:p>
        </w:tc>
        <w:tc>
          <w:tcPr>
            <w:tcW w:w="1417" w:type="dxa"/>
            <w:vAlign w:val="center"/>
          </w:tcPr>
          <w:p w:rsidR="003E4444" w:rsidRPr="00E70905" w:rsidRDefault="003E4444" w:rsidP="00FC1B6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Ekim 2012 Eylül 2012 Farkı</w:t>
            </w:r>
          </w:p>
        </w:tc>
      </w:tr>
      <w:tr w:rsidR="003E4444" w:rsidTr="00FC1B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3E65A5" w:rsidRDefault="003E4444" w:rsidP="00FC1B6B">
            <w:pPr>
              <w:rPr>
                <w:b w:val="0"/>
                <w:color w:val="auto"/>
              </w:rPr>
            </w:pPr>
            <w:r w:rsidRPr="003E65A5">
              <w:rPr>
                <w:b w:val="0"/>
                <w:color w:val="auto"/>
              </w:rPr>
              <w:t>Birden fazla türde ürün satan bakkal, market ve büyük mağazalar</w:t>
            </w:r>
          </w:p>
        </w:tc>
        <w:tc>
          <w:tcPr>
            <w:tcW w:w="1305"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w:t>
            </w:r>
          </w:p>
        </w:tc>
        <w:tc>
          <w:tcPr>
            <w:tcW w:w="1276"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13,2</w:t>
            </w:r>
          </w:p>
        </w:tc>
        <w:tc>
          <w:tcPr>
            <w:tcW w:w="1417"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-9,2</w:t>
            </w:r>
          </w:p>
        </w:tc>
      </w:tr>
      <w:tr w:rsidR="003E4444" w:rsidTr="00FC1B6B">
        <w:trPr>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3C5D36" w:rsidRDefault="003E4444" w:rsidP="00FC1B6B">
            <w:pPr>
              <w:rPr>
                <w:b w:val="0"/>
                <w:color w:val="auto"/>
              </w:rPr>
            </w:pPr>
            <w:r w:rsidRPr="003C5D36">
              <w:rPr>
                <w:b w:val="0"/>
                <w:color w:val="auto"/>
              </w:rPr>
              <w:t xml:space="preserve">Elektrikli ev aletleri, radyo ve televizyonlar </w:t>
            </w:r>
          </w:p>
        </w:tc>
        <w:tc>
          <w:tcPr>
            <w:tcW w:w="1305"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w:t>
            </w:r>
          </w:p>
        </w:tc>
        <w:tc>
          <w:tcPr>
            <w:tcW w:w="1276"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-5,6</w:t>
            </w:r>
          </w:p>
        </w:tc>
        <w:tc>
          <w:tcPr>
            <w:tcW w:w="1417"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7,2</w:t>
            </w:r>
          </w:p>
        </w:tc>
      </w:tr>
      <w:tr w:rsidR="003E4444" w:rsidTr="00FC1B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3C5D36" w:rsidRDefault="003E4444" w:rsidP="00FC1B6B">
            <w:pPr>
              <w:rPr>
                <w:b w:val="0"/>
                <w:color w:val="auto"/>
              </w:rPr>
            </w:pPr>
            <w:r w:rsidRPr="003C5D36">
              <w:rPr>
                <w:b w:val="0"/>
                <w:color w:val="auto"/>
              </w:rPr>
              <w:t xml:space="preserve">Yiyecek, içecek ve tütün ürünleri </w:t>
            </w:r>
          </w:p>
        </w:tc>
        <w:tc>
          <w:tcPr>
            <w:tcW w:w="1305"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p>
        </w:tc>
        <w:tc>
          <w:tcPr>
            <w:tcW w:w="1276"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w:t>
            </w:r>
          </w:p>
        </w:tc>
        <w:tc>
          <w:tcPr>
            <w:tcW w:w="1417"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-4,4</w:t>
            </w:r>
          </w:p>
        </w:tc>
      </w:tr>
      <w:tr w:rsidR="003E4444" w:rsidTr="00FC1B6B">
        <w:trPr>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3C5D36" w:rsidRDefault="003E4444" w:rsidP="00FC1B6B">
            <w:pPr>
              <w:rPr>
                <w:b w:val="0"/>
                <w:color w:val="auto"/>
              </w:rPr>
            </w:pPr>
            <w:r w:rsidRPr="003C5D36">
              <w:rPr>
                <w:b w:val="0"/>
                <w:color w:val="auto"/>
              </w:rPr>
              <w:t>Tekstil, hazır giyim ve ayakkabı</w:t>
            </w:r>
          </w:p>
        </w:tc>
        <w:tc>
          <w:tcPr>
            <w:tcW w:w="1305"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w:t>
            </w:r>
          </w:p>
        </w:tc>
        <w:tc>
          <w:tcPr>
            <w:tcW w:w="1276"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w:t>
            </w:r>
          </w:p>
        </w:tc>
        <w:tc>
          <w:tcPr>
            <w:tcW w:w="1417"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w:t>
            </w:r>
          </w:p>
        </w:tc>
      </w:tr>
      <w:tr w:rsidR="003E4444" w:rsidTr="00FC1B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3C5D36" w:rsidRDefault="003E4444" w:rsidP="00FC1B6B">
            <w:pPr>
              <w:rPr>
                <w:b w:val="0"/>
                <w:color w:val="auto"/>
              </w:rPr>
            </w:pPr>
            <w:r>
              <w:rPr>
                <w:b w:val="0"/>
                <w:color w:val="auto"/>
              </w:rPr>
              <w:t>M</w:t>
            </w:r>
            <w:r w:rsidRPr="003C5D36">
              <w:rPr>
                <w:b w:val="0"/>
                <w:color w:val="auto"/>
              </w:rPr>
              <w:t xml:space="preserve">obilya, aydınlatma </w:t>
            </w:r>
            <w:proofErr w:type="gramStart"/>
            <w:r w:rsidRPr="003C5D36">
              <w:rPr>
                <w:b w:val="0"/>
                <w:color w:val="auto"/>
              </w:rPr>
              <w:t>ekipmanı</w:t>
            </w:r>
            <w:proofErr w:type="gramEnd"/>
            <w:r w:rsidRPr="003C5D36">
              <w:rPr>
                <w:b w:val="0"/>
                <w:color w:val="auto"/>
              </w:rPr>
              <w:t xml:space="preserve"> ve ev içi kullanım ürünleri </w:t>
            </w:r>
          </w:p>
        </w:tc>
        <w:tc>
          <w:tcPr>
            <w:tcW w:w="1305"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w:t>
            </w:r>
          </w:p>
        </w:tc>
        <w:tc>
          <w:tcPr>
            <w:tcW w:w="1276"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w:t>
            </w:r>
          </w:p>
        </w:tc>
        <w:tc>
          <w:tcPr>
            <w:tcW w:w="1417"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23,6</w:t>
            </w:r>
          </w:p>
        </w:tc>
      </w:tr>
      <w:tr w:rsidR="003E4444" w:rsidTr="00FC1B6B">
        <w:trPr>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3C5D36" w:rsidRDefault="003E4444" w:rsidP="00FC1B6B">
            <w:pPr>
              <w:rPr>
                <w:b w:val="0"/>
                <w:color w:val="auto"/>
              </w:rPr>
            </w:pPr>
            <w:r w:rsidRPr="003C5D36">
              <w:rPr>
                <w:b w:val="0"/>
                <w:color w:val="auto"/>
              </w:rPr>
              <w:t>Diğer</w:t>
            </w:r>
          </w:p>
        </w:tc>
        <w:tc>
          <w:tcPr>
            <w:tcW w:w="1305"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w:t>
            </w:r>
          </w:p>
        </w:tc>
        <w:tc>
          <w:tcPr>
            <w:tcW w:w="1276"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w:t>
            </w:r>
          </w:p>
        </w:tc>
        <w:tc>
          <w:tcPr>
            <w:tcW w:w="1417" w:type="dxa"/>
            <w:vAlign w:val="center"/>
          </w:tcPr>
          <w:p w:rsidR="003E4444" w:rsidRDefault="003E4444" w:rsidP="00FC1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-5,4</w:t>
            </w:r>
          </w:p>
        </w:tc>
      </w:tr>
      <w:tr w:rsidR="003E4444" w:rsidTr="00FC1B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749" w:type="dxa"/>
            <w:vAlign w:val="center"/>
          </w:tcPr>
          <w:p w:rsidR="003E4444" w:rsidRPr="003C5D36" w:rsidRDefault="003E4444" w:rsidP="00FC1B6B">
            <w:pPr>
              <w:rPr>
                <w:b w:val="0"/>
                <w:color w:val="auto"/>
              </w:rPr>
            </w:pPr>
            <w:r w:rsidRPr="003C5D36">
              <w:rPr>
                <w:b w:val="0"/>
                <w:color w:val="auto"/>
              </w:rPr>
              <w:t>Motorlu taşıtlar</w:t>
            </w:r>
          </w:p>
        </w:tc>
        <w:tc>
          <w:tcPr>
            <w:tcW w:w="1305"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w:t>
            </w:r>
          </w:p>
        </w:tc>
        <w:tc>
          <w:tcPr>
            <w:tcW w:w="1276"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w:t>
            </w:r>
          </w:p>
        </w:tc>
        <w:tc>
          <w:tcPr>
            <w:tcW w:w="1417" w:type="dxa"/>
            <w:vAlign w:val="center"/>
          </w:tcPr>
          <w:p w:rsidR="003E4444" w:rsidRDefault="003E4444" w:rsidP="00FC1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w:t>
            </w:r>
          </w:p>
        </w:tc>
      </w:tr>
    </w:tbl>
    <w:p w:rsidR="003E4444" w:rsidRDefault="003E4444" w:rsidP="003E4444">
      <w:pPr>
        <w:pStyle w:val="Balk2"/>
        <w:spacing w:before="240" w:line="240" w:lineRule="auto"/>
        <w:rPr>
          <w:rFonts w:asciiTheme="minorHAnsi" w:hAnsiTheme="minorHAnsi" w:cs="Arial"/>
          <w:color w:val="0070C0"/>
          <w:sz w:val="28"/>
        </w:rPr>
      </w:pPr>
    </w:p>
    <w:p w:rsidR="003E4444" w:rsidRDefault="003E4444" w:rsidP="003E4444">
      <w:pPr>
        <w:pStyle w:val="Balk2"/>
        <w:spacing w:before="240" w:after="240" w:line="240" w:lineRule="auto"/>
        <w:rPr>
          <w:rFonts w:asciiTheme="minorHAnsi" w:hAnsiTheme="minorHAnsi" w:cs="Arial"/>
          <w:color w:val="0070C0"/>
          <w:sz w:val="28"/>
        </w:rPr>
      </w:pPr>
    </w:p>
    <w:p w:rsidR="003E4444" w:rsidRDefault="003E4444" w:rsidP="003E4444">
      <w:pPr>
        <w:pStyle w:val="Balk2"/>
        <w:spacing w:before="240" w:after="240" w:line="240" w:lineRule="auto"/>
        <w:rPr>
          <w:rFonts w:asciiTheme="minorHAnsi" w:hAnsiTheme="minorHAnsi" w:cs="Arial"/>
          <w:color w:val="0070C0"/>
          <w:sz w:val="28"/>
        </w:rPr>
      </w:pPr>
    </w:p>
    <w:p w:rsidR="003E4444" w:rsidRDefault="003E4444" w:rsidP="003E4444">
      <w:pPr>
        <w:pStyle w:val="Balk2"/>
        <w:spacing w:before="240" w:after="240" w:line="240" w:lineRule="auto"/>
        <w:rPr>
          <w:rFonts w:asciiTheme="minorHAnsi" w:hAnsiTheme="minorHAnsi" w:cs="Arial"/>
          <w:color w:val="0070C0"/>
          <w:sz w:val="28"/>
        </w:rPr>
      </w:pPr>
    </w:p>
    <w:p w:rsidR="003E4444" w:rsidRDefault="003E4444" w:rsidP="003E4444">
      <w:pPr>
        <w:pStyle w:val="Balk2"/>
        <w:spacing w:before="240" w:after="240" w:line="240" w:lineRule="auto"/>
        <w:rPr>
          <w:rFonts w:asciiTheme="minorHAnsi" w:hAnsiTheme="minorHAnsi" w:cs="Arial"/>
          <w:color w:val="0070C0"/>
          <w:sz w:val="28"/>
        </w:rPr>
      </w:pPr>
    </w:p>
    <w:p w:rsidR="003E4444" w:rsidRDefault="003E4444" w:rsidP="003E4444">
      <w:pPr>
        <w:pStyle w:val="Balk2"/>
        <w:spacing w:before="240" w:after="240" w:line="240" w:lineRule="auto"/>
        <w:rPr>
          <w:rFonts w:asciiTheme="minorHAnsi" w:hAnsiTheme="minorHAnsi" w:cs="Arial"/>
          <w:color w:val="0070C0"/>
          <w:sz w:val="28"/>
        </w:rPr>
      </w:pPr>
    </w:p>
    <w:p w:rsidR="003E4444" w:rsidRDefault="003E4444" w:rsidP="003E4444">
      <w:pPr>
        <w:pStyle w:val="Balk2"/>
        <w:spacing w:before="240" w:after="240" w:line="240" w:lineRule="auto"/>
        <w:rPr>
          <w:rFonts w:asciiTheme="minorHAnsi" w:hAnsiTheme="minorHAnsi" w:cs="Arial"/>
          <w:color w:val="0070C0"/>
          <w:sz w:val="28"/>
        </w:rPr>
      </w:pPr>
    </w:p>
    <w:p w:rsidR="003E4444" w:rsidRDefault="003E4444" w:rsidP="003E4444"/>
    <w:p w:rsidR="003E4444" w:rsidRDefault="003E4444" w:rsidP="003E4444"/>
    <w:p w:rsidR="003E4444" w:rsidRPr="00963EF7" w:rsidRDefault="003E4444" w:rsidP="003E4444"/>
    <w:p w:rsidR="003E4444" w:rsidRPr="00C13DA9" w:rsidRDefault="003E4444" w:rsidP="003E4444">
      <w:pPr>
        <w:pStyle w:val="Balk2"/>
        <w:spacing w:before="0" w:after="240" w:line="240" w:lineRule="auto"/>
        <w:rPr>
          <w:rFonts w:asciiTheme="minorHAnsi" w:hAnsiTheme="minorHAnsi" w:cs="Arial"/>
          <w:color w:val="0070C0"/>
          <w:sz w:val="12"/>
        </w:rPr>
      </w:pPr>
    </w:p>
    <w:p w:rsidR="003E4444" w:rsidRPr="00FF4898" w:rsidRDefault="003E4444" w:rsidP="003E4444">
      <w:pPr>
        <w:pStyle w:val="Balk2"/>
        <w:spacing w:before="0" w:after="240" w:line="240" w:lineRule="auto"/>
        <w:rPr>
          <w:rFonts w:asciiTheme="minorHAnsi" w:hAnsiTheme="minorHAnsi" w:cs="Arial"/>
          <w:color w:val="0070C0"/>
          <w:sz w:val="28"/>
        </w:rPr>
      </w:pPr>
      <w:r>
        <w:rPr>
          <w:rFonts w:asciiTheme="minorHAnsi" w:hAnsiTheme="minorHAnsi" w:cs="Arial"/>
          <w:color w:val="0070C0"/>
          <w:sz w:val="28"/>
        </w:rPr>
        <w:t>Ekim’de Konya p</w:t>
      </w:r>
      <w:r w:rsidRPr="00FF4898">
        <w:rPr>
          <w:rFonts w:asciiTheme="minorHAnsi" w:hAnsiTheme="minorHAnsi" w:cs="Arial"/>
          <w:color w:val="0070C0"/>
          <w:sz w:val="28"/>
        </w:rPr>
        <w:t>erak</w:t>
      </w:r>
      <w:r>
        <w:rPr>
          <w:rFonts w:asciiTheme="minorHAnsi" w:hAnsiTheme="minorHAnsi" w:cs="Arial"/>
          <w:color w:val="0070C0"/>
          <w:sz w:val="28"/>
        </w:rPr>
        <w:t>endesinde işler kısmen düzeldi ancak beklentiler olumsuz</w:t>
      </w:r>
    </w:p>
    <w:p w:rsidR="003E4444" w:rsidRDefault="003E4444" w:rsidP="003E4444">
      <w:pPr>
        <w:spacing w:before="240"/>
        <w:jc w:val="both"/>
        <w:rPr>
          <w:sz w:val="24"/>
        </w:rPr>
      </w:pPr>
      <w:r w:rsidRPr="003E65A5">
        <w:rPr>
          <w:sz w:val="24"/>
        </w:rPr>
        <w:t xml:space="preserve">Konya ve Türkiye, </w:t>
      </w:r>
      <w:r>
        <w:rPr>
          <w:sz w:val="24"/>
        </w:rPr>
        <w:t>perakende güven endeksi anketi sorular</w:t>
      </w:r>
      <w:r w:rsidRPr="003E65A5">
        <w:rPr>
          <w:sz w:val="24"/>
        </w:rPr>
        <w:t xml:space="preserve"> bazında karşılaştırıldığında (balans değer</w:t>
      </w:r>
      <w:r>
        <w:rPr>
          <w:sz w:val="24"/>
        </w:rPr>
        <w:t xml:space="preserve">lerine bakıldığında), Konya’nın geçtiğimiz 3 aya göre işlerin bugünkü durumunda Türkiye’ye göre daha iyi </w:t>
      </w:r>
      <w:r w:rsidRPr="003E65A5">
        <w:rPr>
          <w:sz w:val="24"/>
        </w:rPr>
        <w:t>bi</w:t>
      </w:r>
      <w:r>
        <w:rPr>
          <w:sz w:val="24"/>
        </w:rPr>
        <w:t>r durumda olduğu görünmektedir. Ancak gelecek 3 aydaki sipariş, satış, satış fiyatı ve istihdam beklentilerinde Konya, Türkiye’nin gerisinde kalmıştır.</w:t>
      </w:r>
    </w:p>
    <w:p w:rsidR="003E4444" w:rsidRDefault="003E4444" w:rsidP="003E4444">
      <w:pPr>
        <w:spacing w:after="0"/>
        <w:jc w:val="both"/>
        <w:rPr>
          <w:sz w:val="24"/>
        </w:rPr>
      </w:pPr>
      <w:r w:rsidRPr="00FF4898">
        <w:rPr>
          <w:sz w:val="24"/>
        </w:rPr>
        <w:t>Kony</w:t>
      </w:r>
      <w:r>
        <w:rPr>
          <w:sz w:val="24"/>
        </w:rPr>
        <w:t>a’daki perakendecilerin yüzde 21,7’si</w:t>
      </w:r>
      <w:r w:rsidRPr="00FF4898">
        <w:rPr>
          <w:sz w:val="24"/>
        </w:rPr>
        <w:t xml:space="preserve"> önümüzdeki üç ayda tedarikçilerden siparişlerinin</w:t>
      </w:r>
      <w:r>
        <w:rPr>
          <w:sz w:val="24"/>
        </w:rPr>
        <w:t xml:space="preserve"> artacağını beklerken yüzde 44,3’ü</w:t>
      </w:r>
      <w:r w:rsidRPr="00FF4898">
        <w:rPr>
          <w:sz w:val="24"/>
        </w:rPr>
        <w:t xml:space="preserve"> g</w:t>
      </w:r>
      <w:r>
        <w:rPr>
          <w:sz w:val="24"/>
        </w:rPr>
        <w:t>eçmiş</w:t>
      </w:r>
      <w:r w:rsidRPr="00FF4898">
        <w:rPr>
          <w:sz w:val="24"/>
        </w:rPr>
        <w:t xml:space="preserve"> 3 aya göre bugün iş</w:t>
      </w:r>
      <w:r>
        <w:rPr>
          <w:sz w:val="24"/>
        </w:rPr>
        <w:t xml:space="preserve">lerin kötüleştiğini </w:t>
      </w:r>
      <w:r w:rsidRPr="00FF4898">
        <w:rPr>
          <w:sz w:val="24"/>
        </w:rPr>
        <w:t>ifade etmiştir.</w:t>
      </w:r>
    </w:p>
    <w:p w:rsidR="003E4444" w:rsidRDefault="003E4444" w:rsidP="003E4444">
      <w:pPr>
        <w:spacing w:before="240"/>
        <w:jc w:val="both"/>
        <w:rPr>
          <w:sz w:val="24"/>
        </w:rPr>
      </w:pPr>
      <w:r>
        <w:rPr>
          <w:sz w:val="24"/>
        </w:rPr>
        <w:t xml:space="preserve">Konya perakendesinde Ekim 2012’de, Eylül 2012’ye göre geçmiş 3 aya göre işlerin durumu, gelecek 3 aydaki satış fiyatı beklentisi ve işlerin geçen yıla göre durumu dışındaki tüm beklenti ve durumlarda düşüş yaşanmıştır. En fazla düşüş önümüzdeki 3 ayda tedarikçilerden sipariş </w:t>
      </w:r>
      <w:r w:rsidRPr="003E65A5">
        <w:rPr>
          <w:sz w:val="24"/>
        </w:rPr>
        <w:t>beklentilerin</w:t>
      </w:r>
      <w:r>
        <w:rPr>
          <w:sz w:val="24"/>
        </w:rPr>
        <w:t>de olmuştur.</w:t>
      </w:r>
    </w:p>
    <w:p w:rsidR="003E4444" w:rsidRPr="003127E7" w:rsidRDefault="003E4444" w:rsidP="003E4444">
      <w:pPr>
        <w:tabs>
          <w:tab w:val="left" w:pos="8258"/>
        </w:tabs>
        <w:spacing w:after="240"/>
        <w:jc w:val="both"/>
      </w:pPr>
      <w:r w:rsidRPr="003127E7">
        <w:rPr>
          <w:b/>
        </w:rPr>
        <w:t>Tablo-</w:t>
      </w:r>
      <w:r>
        <w:rPr>
          <w:b/>
        </w:rPr>
        <w:t>2</w:t>
      </w:r>
      <w:r w:rsidRPr="003127E7">
        <w:rPr>
          <w:b/>
        </w:rPr>
        <w:t>.</w:t>
      </w:r>
      <w:r w:rsidRPr="003127E7">
        <w:t xml:space="preserve"> </w:t>
      </w:r>
      <w:r>
        <w:t>KOPE</w:t>
      </w:r>
      <w:r w:rsidRPr="003127E7">
        <w:t xml:space="preserve"> </w:t>
      </w:r>
      <w:r>
        <w:t xml:space="preserve">ve TEPE </w:t>
      </w:r>
      <w:r w:rsidRPr="003127E7">
        <w:t>soru bazında detaylı sonuçlar</w:t>
      </w:r>
      <w:r>
        <w:t>* (puan</w:t>
      </w:r>
      <w:r w:rsidRPr="003127E7">
        <w:t xml:space="preserve">) </w:t>
      </w:r>
    </w:p>
    <w:tbl>
      <w:tblPr>
        <w:tblW w:w="5221" w:type="pct"/>
        <w:tblInd w:w="-410" w:type="dxa"/>
        <w:tblBorders>
          <w:top w:val="single" w:sz="8" w:space="0" w:color="4BACC6"/>
          <w:left w:val="single" w:sz="8" w:space="0" w:color="4BACC6"/>
          <w:bottom w:val="single" w:sz="8" w:space="0" w:color="4BACC6"/>
          <w:right w:val="single" w:sz="8" w:space="0" w:color="4BACC6"/>
        </w:tblBorders>
        <w:tblLayout w:type="fixed"/>
        <w:tblLook w:val="00A0" w:firstRow="1" w:lastRow="0" w:firstColumn="1" w:lastColumn="0" w:noHBand="0" w:noVBand="0"/>
      </w:tblPr>
      <w:tblGrid>
        <w:gridCol w:w="3779"/>
        <w:gridCol w:w="1133"/>
        <w:gridCol w:w="1135"/>
        <w:gridCol w:w="2409"/>
        <w:gridCol w:w="1243"/>
      </w:tblGrid>
      <w:tr w:rsidR="003E4444" w:rsidRPr="003127E7" w:rsidTr="00FC1B6B">
        <w:trPr>
          <w:trHeight w:val="20"/>
        </w:trPr>
        <w:tc>
          <w:tcPr>
            <w:tcW w:w="1948" w:type="pct"/>
            <w:tcBorders>
              <w:top w:val="nil"/>
              <w:left w:val="nil"/>
              <w:bottom w:val="single" w:sz="24" w:space="0" w:color="4BACC6"/>
              <w:right w:val="nil"/>
            </w:tcBorders>
            <w:shd w:val="clear" w:color="auto" w:fill="FFFFFF"/>
            <w:noWrap/>
            <w:vAlign w:val="center"/>
          </w:tcPr>
          <w:p w:rsidR="003E4444" w:rsidRPr="00F31BC3" w:rsidRDefault="003E4444" w:rsidP="00FC1B6B">
            <w:pPr>
              <w:spacing w:after="0" w:line="240" w:lineRule="auto"/>
              <w:rPr>
                <w:rFonts w:cs="Arial"/>
                <w:b/>
                <w:szCs w:val="20"/>
              </w:rPr>
            </w:pPr>
            <w:r w:rsidRPr="00F31BC3">
              <w:rPr>
                <w:rFonts w:cs="Arial"/>
                <w:b/>
                <w:szCs w:val="20"/>
              </w:rPr>
              <w:t>Sorular</w:t>
            </w:r>
          </w:p>
        </w:tc>
        <w:tc>
          <w:tcPr>
            <w:tcW w:w="584" w:type="pct"/>
            <w:tcBorders>
              <w:top w:val="nil"/>
              <w:left w:val="nil"/>
              <w:bottom w:val="single" w:sz="24" w:space="0" w:color="4BACC6"/>
              <w:right w:val="nil"/>
            </w:tcBorders>
            <w:shd w:val="clear" w:color="auto" w:fill="FFFFFF"/>
            <w:vAlign w:val="center"/>
          </w:tcPr>
          <w:p w:rsidR="003E4444" w:rsidRDefault="003E4444" w:rsidP="00FC1B6B">
            <w:pPr>
              <w:spacing w:after="0" w:line="240" w:lineRule="auto"/>
              <w:jc w:val="center"/>
              <w:rPr>
                <w:rFonts w:cs="Arial"/>
                <w:b/>
                <w:szCs w:val="20"/>
              </w:rPr>
            </w:pPr>
            <w:r>
              <w:rPr>
                <w:rFonts w:cs="Arial"/>
                <w:b/>
                <w:szCs w:val="20"/>
              </w:rPr>
              <w:t>Konya</w:t>
            </w:r>
          </w:p>
          <w:p w:rsidR="003E4444" w:rsidRPr="00F31BC3" w:rsidRDefault="003E4444" w:rsidP="00FC1B6B">
            <w:pPr>
              <w:spacing w:after="0" w:line="240" w:lineRule="auto"/>
              <w:jc w:val="center"/>
              <w:rPr>
                <w:rFonts w:cs="Arial"/>
                <w:b/>
                <w:szCs w:val="20"/>
              </w:rPr>
            </w:pPr>
            <w:r>
              <w:rPr>
                <w:rFonts w:cs="Arial"/>
                <w:b/>
                <w:szCs w:val="20"/>
              </w:rPr>
              <w:t>(KOPE)</w:t>
            </w:r>
          </w:p>
          <w:p w:rsidR="003E4444" w:rsidRPr="00F31BC3" w:rsidRDefault="003E4444" w:rsidP="00FC1B6B">
            <w:pPr>
              <w:spacing w:after="0" w:line="240" w:lineRule="auto"/>
              <w:jc w:val="center"/>
              <w:rPr>
                <w:rFonts w:cs="Arial"/>
                <w:b/>
                <w:szCs w:val="20"/>
              </w:rPr>
            </w:pPr>
            <w:r>
              <w:rPr>
                <w:rFonts w:cs="Arial"/>
                <w:b/>
                <w:szCs w:val="20"/>
              </w:rPr>
              <w:t>09</w:t>
            </w:r>
            <w:r w:rsidRPr="00F31BC3">
              <w:rPr>
                <w:rFonts w:cs="Arial"/>
                <w:b/>
                <w:szCs w:val="20"/>
              </w:rPr>
              <w:t>/201</w:t>
            </w:r>
            <w:r>
              <w:rPr>
                <w:rFonts w:cs="Arial"/>
                <w:b/>
                <w:szCs w:val="20"/>
              </w:rPr>
              <w:t>2</w:t>
            </w:r>
          </w:p>
        </w:tc>
        <w:tc>
          <w:tcPr>
            <w:tcW w:w="585" w:type="pct"/>
            <w:tcBorders>
              <w:top w:val="nil"/>
              <w:left w:val="nil"/>
              <w:bottom w:val="single" w:sz="24" w:space="0" w:color="4BACC6"/>
              <w:right w:val="nil"/>
            </w:tcBorders>
            <w:shd w:val="clear" w:color="auto" w:fill="FFFFFF"/>
            <w:vAlign w:val="center"/>
          </w:tcPr>
          <w:p w:rsidR="003E4444" w:rsidRDefault="003E4444" w:rsidP="00FC1B6B">
            <w:pPr>
              <w:spacing w:after="0" w:line="240" w:lineRule="auto"/>
              <w:jc w:val="center"/>
              <w:rPr>
                <w:rFonts w:cs="Arial"/>
                <w:b/>
                <w:szCs w:val="20"/>
              </w:rPr>
            </w:pPr>
            <w:r>
              <w:rPr>
                <w:rFonts w:cs="Arial"/>
                <w:b/>
                <w:szCs w:val="20"/>
              </w:rPr>
              <w:t>Konya</w:t>
            </w:r>
          </w:p>
          <w:p w:rsidR="003E4444" w:rsidRPr="00F31BC3" w:rsidRDefault="003E4444" w:rsidP="00FC1B6B">
            <w:pPr>
              <w:spacing w:after="0" w:line="240" w:lineRule="auto"/>
              <w:jc w:val="center"/>
              <w:rPr>
                <w:rFonts w:cs="Arial"/>
                <w:b/>
                <w:szCs w:val="20"/>
              </w:rPr>
            </w:pPr>
            <w:r>
              <w:rPr>
                <w:rFonts w:cs="Arial"/>
                <w:b/>
                <w:szCs w:val="20"/>
              </w:rPr>
              <w:t>(KOPE)</w:t>
            </w:r>
          </w:p>
          <w:p w:rsidR="003E4444" w:rsidRPr="00F31BC3" w:rsidRDefault="003E4444" w:rsidP="00FC1B6B">
            <w:pPr>
              <w:spacing w:after="0" w:line="240" w:lineRule="auto"/>
              <w:jc w:val="center"/>
              <w:rPr>
                <w:rFonts w:cs="Arial"/>
                <w:b/>
                <w:szCs w:val="20"/>
              </w:rPr>
            </w:pPr>
            <w:r>
              <w:rPr>
                <w:rFonts w:cs="Arial"/>
                <w:b/>
                <w:szCs w:val="20"/>
              </w:rPr>
              <w:t>10</w:t>
            </w:r>
            <w:r w:rsidRPr="00F31BC3">
              <w:rPr>
                <w:rFonts w:cs="Arial"/>
                <w:b/>
                <w:szCs w:val="20"/>
              </w:rPr>
              <w:t>/201</w:t>
            </w:r>
            <w:r>
              <w:rPr>
                <w:rFonts w:cs="Arial"/>
                <w:b/>
                <w:szCs w:val="20"/>
              </w:rPr>
              <w:t>2</w:t>
            </w:r>
          </w:p>
        </w:tc>
        <w:tc>
          <w:tcPr>
            <w:tcW w:w="1242" w:type="pct"/>
            <w:tcBorders>
              <w:top w:val="nil"/>
              <w:left w:val="nil"/>
              <w:bottom w:val="single" w:sz="24" w:space="0" w:color="4BACC6"/>
              <w:right w:val="nil"/>
            </w:tcBorders>
            <w:shd w:val="clear" w:color="auto" w:fill="FFFFFF"/>
            <w:vAlign w:val="center"/>
          </w:tcPr>
          <w:p w:rsidR="003E4444" w:rsidRPr="00F31BC3" w:rsidRDefault="003E4444" w:rsidP="00FC1B6B">
            <w:pPr>
              <w:spacing w:after="0" w:line="240" w:lineRule="auto"/>
              <w:ind w:left="32"/>
              <w:jc w:val="center"/>
              <w:rPr>
                <w:rFonts w:cs="Arial"/>
                <w:b/>
                <w:szCs w:val="20"/>
              </w:rPr>
            </w:pPr>
            <w:r>
              <w:rPr>
                <w:rFonts w:cs="Arial"/>
                <w:b/>
                <w:szCs w:val="20"/>
              </w:rPr>
              <w:t>Bir önceki aya göre değişim (KOPE) 10</w:t>
            </w:r>
            <w:r w:rsidRPr="00F31BC3">
              <w:rPr>
                <w:rFonts w:cs="Arial"/>
                <w:b/>
                <w:szCs w:val="20"/>
              </w:rPr>
              <w:t>/201</w:t>
            </w:r>
            <w:r>
              <w:rPr>
                <w:rFonts w:cs="Arial"/>
                <w:b/>
                <w:szCs w:val="20"/>
              </w:rPr>
              <w:t>2</w:t>
            </w:r>
          </w:p>
        </w:tc>
        <w:tc>
          <w:tcPr>
            <w:tcW w:w="641" w:type="pct"/>
            <w:tcBorders>
              <w:top w:val="nil"/>
              <w:left w:val="nil"/>
              <w:bottom w:val="single" w:sz="24" w:space="0" w:color="4BACC6"/>
              <w:right w:val="nil"/>
            </w:tcBorders>
            <w:shd w:val="clear" w:color="auto" w:fill="FFFFFF"/>
            <w:vAlign w:val="center"/>
          </w:tcPr>
          <w:p w:rsidR="003E4444" w:rsidRDefault="003E4444" w:rsidP="00FC1B6B">
            <w:pPr>
              <w:spacing w:after="0" w:line="240" w:lineRule="auto"/>
              <w:jc w:val="center"/>
              <w:rPr>
                <w:rFonts w:cs="Arial"/>
                <w:b/>
                <w:szCs w:val="20"/>
              </w:rPr>
            </w:pPr>
            <w:r>
              <w:rPr>
                <w:rFonts w:cs="Arial"/>
                <w:b/>
                <w:szCs w:val="20"/>
              </w:rPr>
              <w:t>Türkiye</w:t>
            </w:r>
          </w:p>
          <w:p w:rsidR="003E4444" w:rsidRPr="00F31BC3" w:rsidRDefault="003E4444" w:rsidP="00FC1B6B">
            <w:pPr>
              <w:spacing w:after="0" w:line="240" w:lineRule="auto"/>
              <w:jc w:val="center"/>
              <w:rPr>
                <w:rFonts w:cs="Arial"/>
                <w:b/>
                <w:szCs w:val="20"/>
              </w:rPr>
            </w:pPr>
            <w:r>
              <w:rPr>
                <w:rFonts w:cs="Arial"/>
                <w:b/>
                <w:szCs w:val="20"/>
              </w:rPr>
              <w:t>(TEPE)</w:t>
            </w:r>
          </w:p>
          <w:p w:rsidR="003E4444" w:rsidRDefault="003E4444" w:rsidP="00FC1B6B">
            <w:pPr>
              <w:spacing w:after="0" w:line="240" w:lineRule="auto"/>
              <w:ind w:left="32"/>
              <w:jc w:val="center"/>
              <w:rPr>
                <w:rFonts w:cs="Arial"/>
                <w:b/>
                <w:szCs w:val="20"/>
              </w:rPr>
            </w:pPr>
            <w:r>
              <w:rPr>
                <w:rFonts w:cs="Arial"/>
                <w:b/>
                <w:szCs w:val="20"/>
              </w:rPr>
              <w:t>10</w:t>
            </w:r>
            <w:r w:rsidRPr="00F31BC3">
              <w:rPr>
                <w:rFonts w:cs="Arial"/>
                <w:b/>
                <w:szCs w:val="20"/>
              </w:rPr>
              <w:t>/201</w:t>
            </w:r>
            <w:r>
              <w:rPr>
                <w:rFonts w:cs="Arial"/>
                <w:b/>
                <w:szCs w:val="20"/>
              </w:rPr>
              <w:t>2</w:t>
            </w:r>
          </w:p>
        </w:tc>
      </w:tr>
      <w:tr w:rsidR="003E4444" w:rsidRPr="003127E7" w:rsidTr="00FC1B6B">
        <w:trPr>
          <w:trHeight w:val="20"/>
        </w:trPr>
        <w:tc>
          <w:tcPr>
            <w:tcW w:w="1948" w:type="pct"/>
            <w:tcBorders>
              <w:top w:val="nil"/>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szCs w:val="20"/>
              </w:rPr>
            </w:pPr>
            <w:r w:rsidRPr="00F31BC3">
              <w:rPr>
                <w:rFonts w:cs="Arial"/>
                <w:szCs w:val="20"/>
              </w:rPr>
              <w:t>Geçtiğimiz üç ayda işlerinizin gelişimi ne yönde oldu?</w:t>
            </w:r>
          </w:p>
        </w:tc>
        <w:tc>
          <w:tcPr>
            <w:tcW w:w="584" w:type="pct"/>
            <w:tcBorders>
              <w:top w:val="nil"/>
              <w:left w:val="nil"/>
              <w:bottom w:val="nil"/>
              <w:right w:val="nil"/>
            </w:tcBorders>
            <w:shd w:val="clear" w:color="auto" w:fill="D2EAF1"/>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-25,0</w:t>
            </w:r>
          </w:p>
        </w:tc>
        <w:tc>
          <w:tcPr>
            <w:tcW w:w="585"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-17,7</w:t>
            </w:r>
          </w:p>
        </w:tc>
        <w:tc>
          <w:tcPr>
            <w:tcW w:w="1242"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7,3</w:t>
            </w:r>
          </w:p>
        </w:tc>
        <w:tc>
          <w:tcPr>
            <w:tcW w:w="641" w:type="pct"/>
            <w:tcBorders>
              <w:top w:val="nil"/>
              <w:left w:val="nil"/>
              <w:bottom w:val="nil"/>
              <w:right w:val="nil"/>
            </w:tcBorders>
            <w:shd w:val="clear" w:color="auto" w:fill="D2EAF1"/>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-27,9</w:t>
            </w:r>
          </w:p>
        </w:tc>
      </w:tr>
      <w:tr w:rsidR="003E4444" w:rsidRPr="003127E7" w:rsidTr="00FC1B6B">
        <w:trPr>
          <w:trHeight w:val="20"/>
        </w:trPr>
        <w:tc>
          <w:tcPr>
            <w:tcW w:w="1948" w:type="pct"/>
            <w:tcBorders>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szCs w:val="20"/>
              </w:rPr>
            </w:pPr>
            <w:r w:rsidRPr="00F31BC3">
              <w:rPr>
                <w:rFonts w:cs="Arial"/>
                <w:szCs w:val="20"/>
              </w:rPr>
              <w:t xml:space="preserve">Mevcut stok düzeyiniz hakkında ne düşünüyorsunuz? </w:t>
            </w:r>
            <w:r w:rsidRPr="00F31BC3">
              <w:rPr>
                <w:rStyle w:val="DipnotBavurusu"/>
                <w:rFonts w:cs="Arial"/>
                <w:b/>
                <w:szCs w:val="20"/>
              </w:rPr>
              <w:footnoteReference w:id="1"/>
            </w:r>
          </w:p>
        </w:tc>
        <w:tc>
          <w:tcPr>
            <w:tcW w:w="584" w:type="pct"/>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15,3</w:t>
            </w:r>
          </w:p>
        </w:tc>
        <w:tc>
          <w:tcPr>
            <w:tcW w:w="585" w:type="pct"/>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8,7</w:t>
            </w:r>
          </w:p>
        </w:tc>
        <w:tc>
          <w:tcPr>
            <w:tcW w:w="1242" w:type="pct"/>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-6,7</w:t>
            </w:r>
          </w:p>
        </w:tc>
        <w:tc>
          <w:tcPr>
            <w:tcW w:w="641" w:type="pct"/>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14,5</w:t>
            </w:r>
          </w:p>
        </w:tc>
      </w:tr>
      <w:tr w:rsidR="003E4444" w:rsidRPr="003127E7" w:rsidTr="00FC1B6B">
        <w:trPr>
          <w:trHeight w:val="20"/>
        </w:trPr>
        <w:tc>
          <w:tcPr>
            <w:tcW w:w="1948" w:type="pct"/>
            <w:tcBorders>
              <w:top w:val="nil"/>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szCs w:val="20"/>
              </w:rPr>
            </w:pPr>
            <w:r w:rsidRPr="00F31BC3">
              <w:rPr>
                <w:rFonts w:cs="Arial"/>
                <w:szCs w:val="20"/>
              </w:rPr>
              <w:t>Tedarikçilerden siparişlerinizin önümüzdeki üç ayda ne yönde değişeceğini düşünüyorsunuz?</w:t>
            </w:r>
          </w:p>
        </w:tc>
        <w:tc>
          <w:tcPr>
            <w:tcW w:w="584" w:type="pct"/>
            <w:tcBorders>
              <w:top w:val="nil"/>
              <w:left w:val="nil"/>
              <w:bottom w:val="nil"/>
              <w:right w:val="nil"/>
            </w:tcBorders>
            <w:shd w:val="clear" w:color="auto" w:fill="D2EAF1"/>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1,7</w:t>
            </w:r>
          </w:p>
        </w:tc>
        <w:tc>
          <w:tcPr>
            <w:tcW w:w="585"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-12,7</w:t>
            </w:r>
          </w:p>
        </w:tc>
        <w:tc>
          <w:tcPr>
            <w:tcW w:w="1242"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-14,3</w:t>
            </w:r>
          </w:p>
        </w:tc>
        <w:tc>
          <w:tcPr>
            <w:tcW w:w="641" w:type="pct"/>
            <w:tcBorders>
              <w:top w:val="nil"/>
              <w:left w:val="nil"/>
              <w:bottom w:val="nil"/>
              <w:right w:val="nil"/>
            </w:tcBorders>
            <w:shd w:val="clear" w:color="auto" w:fill="D2EAF1"/>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3,5</w:t>
            </w:r>
          </w:p>
        </w:tc>
      </w:tr>
      <w:tr w:rsidR="003E4444" w:rsidRPr="003127E7" w:rsidTr="00FC1B6B">
        <w:trPr>
          <w:trHeight w:val="20"/>
        </w:trPr>
        <w:tc>
          <w:tcPr>
            <w:tcW w:w="1948" w:type="pct"/>
            <w:tcBorders>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szCs w:val="20"/>
              </w:rPr>
            </w:pPr>
            <w:r w:rsidRPr="00F31BC3">
              <w:rPr>
                <w:rFonts w:cs="Arial"/>
                <w:szCs w:val="20"/>
              </w:rPr>
              <w:t>Satışlarınızın önümüzdeki üç ayda ne yönde değişeceğini düşünüyorsunuz?</w:t>
            </w:r>
          </w:p>
        </w:tc>
        <w:tc>
          <w:tcPr>
            <w:tcW w:w="584" w:type="pct"/>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4,3</w:t>
            </w:r>
          </w:p>
        </w:tc>
        <w:tc>
          <w:tcPr>
            <w:tcW w:w="585" w:type="pct"/>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-3,3</w:t>
            </w:r>
          </w:p>
        </w:tc>
        <w:tc>
          <w:tcPr>
            <w:tcW w:w="1242" w:type="pct"/>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-7,7</w:t>
            </w:r>
          </w:p>
        </w:tc>
        <w:tc>
          <w:tcPr>
            <w:tcW w:w="641" w:type="pct"/>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9,3</w:t>
            </w:r>
          </w:p>
        </w:tc>
      </w:tr>
      <w:tr w:rsidR="003E4444" w:rsidRPr="003127E7" w:rsidTr="00FC1B6B">
        <w:trPr>
          <w:trHeight w:val="20"/>
        </w:trPr>
        <w:tc>
          <w:tcPr>
            <w:tcW w:w="1948" w:type="pct"/>
            <w:tcBorders>
              <w:top w:val="nil"/>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szCs w:val="20"/>
              </w:rPr>
            </w:pPr>
            <w:r w:rsidRPr="00F31BC3">
              <w:rPr>
                <w:rFonts w:cs="Arial"/>
                <w:szCs w:val="20"/>
              </w:rPr>
              <w:t>İstihdam ettiğiniz personel sayısının önümüzdeki üç ayda ne yönde değişeceğini düşünüyorsunuz?</w:t>
            </w:r>
          </w:p>
        </w:tc>
        <w:tc>
          <w:tcPr>
            <w:tcW w:w="584" w:type="pct"/>
            <w:tcBorders>
              <w:top w:val="nil"/>
              <w:left w:val="nil"/>
              <w:bottom w:val="nil"/>
              <w:right w:val="nil"/>
            </w:tcBorders>
            <w:shd w:val="clear" w:color="auto" w:fill="D2EAF1"/>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8,3</w:t>
            </w:r>
          </w:p>
        </w:tc>
        <w:tc>
          <w:tcPr>
            <w:tcW w:w="585"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-0,3</w:t>
            </w:r>
          </w:p>
        </w:tc>
        <w:tc>
          <w:tcPr>
            <w:tcW w:w="1242"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-8,7</w:t>
            </w:r>
          </w:p>
        </w:tc>
        <w:tc>
          <w:tcPr>
            <w:tcW w:w="641" w:type="pct"/>
            <w:tcBorders>
              <w:top w:val="nil"/>
              <w:left w:val="nil"/>
              <w:bottom w:val="nil"/>
              <w:right w:val="nil"/>
            </w:tcBorders>
            <w:shd w:val="clear" w:color="auto" w:fill="D2EAF1"/>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2,5</w:t>
            </w:r>
          </w:p>
        </w:tc>
      </w:tr>
      <w:tr w:rsidR="003E4444" w:rsidRPr="003127E7" w:rsidTr="00FC1B6B">
        <w:trPr>
          <w:trHeight w:val="20"/>
        </w:trPr>
        <w:tc>
          <w:tcPr>
            <w:tcW w:w="1948" w:type="pct"/>
            <w:tcBorders>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color w:val="000000"/>
                <w:szCs w:val="20"/>
              </w:rPr>
            </w:pPr>
            <w:r w:rsidRPr="00F31BC3">
              <w:rPr>
                <w:rFonts w:cs="Arial"/>
                <w:color w:val="000000"/>
                <w:szCs w:val="20"/>
              </w:rPr>
              <w:t>Satış fiyatlarınızın önümüzdeki üç ayda ne yönde değişeceğini düşünüyorsunuz?</w:t>
            </w:r>
          </w:p>
        </w:tc>
        <w:tc>
          <w:tcPr>
            <w:tcW w:w="584" w:type="pct"/>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6,0</w:t>
            </w:r>
          </w:p>
        </w:tc>
        <w:tc>
          <w:tcPr>
            <w:tcW w:w="585" w:type="pct"/>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13,0</w:t>
            </w:r>
          </w:p>
        </w:tc>
        <w:tc>
          <w:tcPr>
            <w:tcW w:w="1242" w:type="pct"/>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7,0</w:t>
            </w:r>
          </w:p>
        </w:tc>
        <w:tc>
          <w:tcPr>
            <w:tcW w:w="641" w:type="pct"/>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19,1</w:t>
            </w:r>
          </w:p>
        </w:tc>
      </w:tr>
      <w:tr w:rsidR="003E4444" w:rsidRPr="003127E7" w:rsidTr="00FC1B6B">
        <w:trPr>
          <w:trHeight w:val="20"/>
        </w:trPr>
        <w:tc>
          <w:tcPr>
            <w:tcW w:w="1948" w:type="pct"/>
            <w:tcBorders>
              <w:top w:val="nil"/>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color w:val="000000"/>
                <w:szCs w:val="20"/>
              </w:rPr>
            </w:pPr>
            <w:r w:rsidRPr="00F31BC3">
              <w:rPr>
                <w:rFonts w:cs="Arial"/>
                <w:color w:val="000000"/>
                <w:szCs w:val="20"/>
              </w:rPr>
              <w:t>İşleriniz geçen yılın aynı dönemine göre bu yıl nasıl gelişti?</w:t>
            </w:r>
          </w:p>
        </w:tc>
        <w:tc>
          <w:tcPr>
            <w:tcW w:w="584" w:type="pct"/>
            <w:tcBorders>
              <w:top w:val="nil"/>
              <w:left w:val="nil"/>
              <w:bottom w:val="nil"/>
              <w:right w:val="nil"/>
            </w:tcBorders>
            <w:shd w:val="clear" w:color="auto" w:fill="D2EAF1"/>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-34,3</w:t>
            </w:r>
          </w:p>
        </w:tc>
        <w:tc>
          <w:tcPr>
            <w:tcW w:w="585"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-30,0</w:t>
            </w:r>
          </w:p>
        </w:tc>
        <w:tc>
          <w:tcPr>
            <w:tcW w:w="1242" w:type="pct"/>
            <w:tcBorders>
              <w:top w:val="nil"/>
              <w:left w:val="nil"/>
              <w:bottom w:val="nil"/>
              <w:right w:val="nil"/>
            </w:tcBorders>
            <w:shd w:val="clear" w:color="auto" w:fill="D2EAF1"/>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4,3</w:t>
            </w:r>
          </w:p>
        </w:tc>
        <w:tc>
          <w:tcPr>
            <w:tcW w:w="641" w:type="pct"/>
            <w:tcBorders>
              <w:top w:val="nil"/>
              <w:left w:val="nil"/>
              <w:bottom w:val="nil"/>
              <w:right w:val="nil"/>
            </w:tcBorders>
            <w:shd w:val="clear" w:color="auto" w:fill="D2EAF1"/>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-24,2</w:t>
            </w:r>
          </w:p>
        </w:tc>
      </w:tr>
      <w:tr w:rsidR="003E4444" w:rsidRPr="003127E7" w:rsidTr="00FC1B6B">
        <w:trPr>
          <w:trHeight w:val="20"/>
        </w:trPr>
        <w:tc>
          <w:tcPr>
            <w:tcW w:w="1948" w:type="pct"/>
            <w:tcBorders>
              <w:left w:val="nil"/>
              <w:bottom w:val="nil"/>
              <w:right w:val="single" w:sz="8" w:space="0" w:color="4BACC6"/>
            </w:tcBorders>
            <w:shd w:val="clear" w:color="auto" w:fill="FFFFFF"/>
            <w:noWrap/>
            <w:vAlign w:val="center"/>
          </w:tcPr>
          <w:p w:rsidR="003E4444" w:rsidRPr="00F31BC3" w:rsidRDefault="003E4444" w:rsidP="00FC1B6B">
            <w:pPr>
              <w:spacing w:after="0" w:line="240" w:lineRule="auto"/>
              <w:rPr>
                <w:rFonts w:cs="Arial"/>
                <w:b/>
                <w:color w:val="000000"/>
                <w:szCs w:val="20"/>
              </w:rPr>
            </w:pPr>
            <w:r w:rsidRPr="00F31BC3">
              <w:rPr>
                <w:rFonts w:cs="Arial"/>
                <w:color w:val="000000"/>
                <w:szCs w:val="20"/>
              </w:rPr>
              <w:t>Mağaza sayınızın gelecek yıl nasıl değişmesini bekliyorsunuz?</w:t>
            </w:r>
          </w:p>
        </w:tc>
        <w:tc>
          <w:tcPr>
            <w:tcW w:w="584" w:type="pct"/>
            <w:tcBorders>
              <w:bottom w:val="single" w:sz="8" w:space="0" w:color="4BACC6"/>
            </w:tcBorders>
            <w:vAlign w:val="center"/>
          </w:tcPr>
          <w:p w:rsidR="003E4444" w:rsidRPr="008B1B3D" w:rsidRDefault="003E4444" w:rsidP="00FC1B6B">
            <w:pPr>
              <w:spacing w:after="0" w:line="240" w:lineRule="auto"/>
              <w:jc w:val="center"/>
              <w:rPr>
                <w:rFonts w:cs="Arial"/>
                <w:color w:val="000000"/>
                <w:szCs w:val="20"/>
              </w:rPr>
            </w:pPr>
            <w:r>
              <w:rPr>
                <w:rFonts w:cs="Arial"/>
                <w:color w:val="000000"/>
                <w:szCs w:val="20"/>
              </w:rPr>
              <w:t>14,7</w:t>
            </w:r>
          </w:p>
        </w:tc>
        <w:tc>
          <w:tcPr>
            <w:tcW w:w="585" w:type="pct"/>
            <w:tcBorders>
              <w:bottom w:val="single" w:sz="8" w:space="0" w:color="4BACC6"/>
            </w:tcBorders>
            <w:vAlign w:val="center"/>
          </w:tcPr>
          <w:p w:rsidR="003E4444" w:rsidRPr="00F31BC3" w:rsidRDefault="003E4444" w:rsidP="00FC1B6B">
            <w:pPr>
              <w:spacing w:after="0" w:line="240" w:lineRule="auto"/>
              <w:jc w:val="center"/>
              <w:rPr>
                <w:rFonts w:cs="Arial"/>
                <w:b/>
                <w:color w:val="000000"/>
                <w:szCs w:val="20"/>
              </w:rPr>
            </w:pPr>
            <w:r>
              <w:rPr>
                <w:rFonts w:cs="Arial"/>
                <w:b/>
                <w:color w:val="000000"/>
                <w:szCs w:val="20"/>
              </w:rPr>
              <w:t>10,7</w:t>
            </w:r>
          </w:p>
        </w:tc>
        <w:tc>
          <w:tcPr>
            <w:tcW w:w="1242" w:type="pct"/>
            <w:tcBorders>
              <w:bottom w:val="single" w:sz="8" w:space="0" w:color="4BACC6"/>
            </w:tcBorders>
            <w:vAlign w:val="center"/>
          </w:tcPr>
          <w:p w:rsidR="003E4444" w:rsidRPr="00F31BC3" w:rsidRDefault="003E4444" w:rsidP="00FC1B6B">
            <w:pPr>
              <w:spacing w:after="0" w:line="240" w:lineRule="auto"/>
              <w:jc w:val="center"/>
              <w:rPr>
                <w:rFonts w:cs="Arial"/>
                <w:color w:val="000000"/>
                <w:szCs w:val="20"/>
              </w:rPr>
            </w:pPr>
            <w:r>
              <w:rPr>
                <w:rFonts w:cs="Arial"/>
                <w:color w:val="000000"/>
                <w:szCs w:val="20"/>
              </w:rPr>
              <w:t>-4,0</w:t>
            </w:r>
          </w:p>
        </w:tc>
        <w:tc>
          <w:tcPr>
            <w:tcW w:w="641" w:type="pct"/>
            <w:tcBorders>
              <w:bottom w:val="single" w:sz="8" w:space="0" w:color="4BACC6"/>
            </w:tcBorders>
            <w:vAlign w:val="center"/>
          </w:tcPr>
          <w:p w:rsidR="003E4444" w:rsidRPr="002D3017" w:rsidRDefault="003E4444" w:rsidP="00FC1B6B">
            <w:pPr>
              <w:spacing w:after="0" w:line="240" w:lineRule="auto"/>
              <w:jc w:val="center"/>
              <w:rPr>
                <w:rFonts w:cs="Arial"/>
                <w:b/>
                <w:color w:val="000000"/>
                <w:szCs w:val="20"/>
              </w:rPr>
            </w:pPr>
            <w:r>
              <w:rPr>
                <w:rFonts w:cs="Arial"/>
                <w:b/>
                <w:color w:val="000000"/>
                <w:szCs w:val="20"/>
              </w:rPr>
              <w:t>10,0</w:t>
            </w:r>
          </w:p>
        </w:tc>
      </w:tr>
    </w:tbl>
    <w:p w:rsidR="003E4444" w:rsidRDefault="003E4444" w:rsidP="003E4444">
      <w:pPr>
        <w:spacing w:before="240" w:after="0"/>
        <w:jc w:val="both"/>
        <w:rPr>
          <w:b/>
        </w:rPr>
      </w:pPr>
    </w:p>
    <w:p w:rsidR="00284845" w:rsidRPr="007B68D4" w:rsidRDefault="00284845" w:rsidP="0060600E">
      <w:pPr>
        <w:spacing w:line="360" w:lineRule="auto"/>
        <w:rPr>
          <w:rFonts w:ascii="Calibri" w:hAnsi="Calibri" w:cs="Calibri"/>
        </w:rPr>
        <w:sectPr w:rsidR="00284845" w:rsidRPr="007B68D4" w:rsidSect="002A470B">
          <w:headerReference w:type="default" r:id="rId24"/>
          <w:footerReference w:type="default" r:id="rId25"/>
          <w:type w:val="continuous"/>
          <w:pgSz w:w="11906" w:h="16838"/>
          <w:pgMar w:top="1417" w:right="1417" w:bottom="1417" w:left="1417" w:header="113" w:footer="567" w:gutter="0"/>
          <w:cols w:space="708"/>
          <w:docGrid w:linePitch="360"/>
        </w:sectPr>
      </w:pPr>
    </w:p>
    <w:p w:rsidR="00C937FB" w:rsidRPr="003127E7" w:rsidRDefault="00FE70E4" w:rsidP="00C937FB">
      <w:pPr>
        <w:pStyle w:val="Balk1"/>
        <w:spacing w:before="0" w:line="240" w:lineRule="auto"/>
        <w:ind w:left="7080" w:right="-1320"/>
        <w:rPr>
          <w:rFonts w:asciiTheme="minorHAnsi" w:hAnsiTheme="minorHAnsi" w:cs="Arial"/>
          <w:color w:val="002060"/>
        </w:rPr>
      </w:pPr>
      <w:r>
        <w:rPr>
          <w:rFonts w:asciiTheme="minorHAnsi" w:hAnsiTheme="minorHAnsi" w:cs="Arial"/>
          <w:color w:val="002060"/>
          <w:sz w:val="36"/>
        </w:rPr>
        <w:lastRenderedPageBreak/>
        <w:t xml:space="preserve">    </w:t>
      </w:r>
      <w:r w:rsidR="0099569A">
        <w:rPr>
          <w:rFonts w:asciiTheme="minorHAnsi" w:hAnsiTheme="minorHAnsi" w:cs="Arial"/>
          <w:color w:val="002060"/>
          <w:sz w:val="36"/>
        </w:rPr>
        <w:t xml:space="preserve"> </w:t>
      </w:r>
      <w:r w:rsidR="00C937FB" w:rsidRPr="003127E7">
        <w:rPr>
          <w:rFonts w:asciiTheme="minorHAnsi" w:hAnsiTheme="minorHAnsi" w:cs="Arial"/>
          <w:color w:val="002060"/>
          <w:sz w:val="36"/>
        </w:rPr>
        <w:t>HABER BÜLTENİ</w:t>
      </w:r>
    </w:p>
    <w:p w:rsidR="00C937FB" w:rsidRPr="00AD7D54" w:rsidRDefault="00C937FB" w:rsidP="00C937FB">
      <w:pPr>
        <w:pStyle w:val="Balk1"/>
        <w:spacing w:before="0" w:line="240" w:lineRule="auto"/>
        <w:ind w:right="-1200"/>
        <w:rPr>
          <w:rFonts w:asciiTheme="minorHAnsi" w:hAnsiTheme="minorHAnsi" w:cs="Arial"/>
          <w:color w:val="002060"/>
        </w:rPr>
      </w:pPr>
      <w:r>
        <w:rPr>
          <w:b w:val="0"/>
          <w:noProof/>
          <w:lang w:eastAsia="tr-TR"/>
        </w:rPr>
        <mc:AlternateContent>
          <mc:Choice Requires="wps">
            <w:drawing>
              <wp:anchor distT="0" distB="0" distL="114300" distR="114300" simplePos="0" relativeHeight="251679744" behindDoc="0" locked="0" layoutInCell="1" allowOverlap="1" wp14:anchorId="446795E7" wp14:editId="54EE93F6">
                <wp:simplePos x="0" y="0"/>
                <wp:positionH relativeFrom="column">
                  <wp:posOffset>-856615</wp:posOffset>
                </wp:positionH>
                <wp:positionV relativeFrom="paragraph">
                  <wp:posOffset>19050</wp:posOffset>
                </wp:positionV>
                <wp:extent cx="5662295" cy="0"/>
                <wp:effectExtent l="33655" t="34925" r="28575" b="317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2295" cy="0"/>
                        </a:xfrm>
                        <a:prstGeom prst="straightConnector1">
                          <a:avLst/>
                        </a:prstGeom>
                        <a:noFill/>
                        <a:ln w="571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7.45pt;margin-top:1.5pt;width:445.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" strokecolor="#002060" strokeweight="4.5pt"/>
            </w:pict>
          </mc:Fallback>
        </mc:AlternateContent>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t xml:space="preserve">  </w:t>
      </w:r>
      <w:r w:rsidRPr="003127E7">
        <w:rPr>
          <w:rFonts w:asciiTheme="minorHAnsi" w:hAnsiTheme="minorHAnsi" w:cs="Arial"/>
          <w:sz w:val="24"/>
        </w:rPr>
        <w:t xml:space="preserve"> </w:t>
      </w:r>
      <w:r>
        <w:rPr>
          <w:rFonts w:asciiTheme="minorHAnsi" w:hAnsiTheme="minorHAnsi" w:cs="Arial"/>
          <w:sz w:val="24"/>
        </w:rPr>
        <w:t xml:space="preserve">          </w:t>
      </w:r>
      <w:r w:rsidR="00F11B70">
        <w:rPr>
          <w:rFonts w:asciiTheme="minorHAnsi" w:hAnsiTheme="minorHAnsi" w:cs="Arial"/>
          <w:color w:val="002060"/>
        </w:rPr>
        <w:t>08</w:t>
      </w:r>
      <w:r>
        <w:rPr>
          <w:rFonts w:asciiTheme="minorHAnsi" w:hAnsiTheme="minorHAnsi" w:cs="Arial"/>
          <w:color w:val="002060"/>
        </w:rPr>
        <w:t>.11.</w:t>
      </w:r>
      <w:proofErr w:type="gramStart"/>
      <w:r>
        <w:rPr>
          <w:rFonts w:asciiTheme="minorHAnsi" w:hAnsiTheme="minorHAnsi" w:cs="Arial"/>
          <w:color w:val="002060"/>
        </w:rPr>
        <w:t xml:space="preserve">2012      </w:t>
      </w:r>
      <w:r w:rsidRPr="003127E7">
        <w:rPr>
          <w:rFonts w:asciiTheme="minorHAnsi" w:hAnsiTheme="minorHAnsi" w:cs="Arial"/>
          <w:color w:val="002060"/>
        </w:rPr>
        <w:t>Sayı</w:t>
      </w:r>
      <w:proofErr w:type="gramEnd"/>
      <w:r w:rsidRPr="003127E7">
        <w:rPr>
          <w:rFonts w:asciiTheme="minorHAnsi" w:hAnsiTheme="minorHAnsi" w:cs="Arial"/>
          <w:color w:val="002060"/>
        </w:rPr>
        <w:t xml:space="preserve"> </w:t>
      </w:r>
      <w:r>
        <w:rPr>
          <w:rFonts w:asciiTheme="minorHAnsi" w:hAnsiTheme="minorHAnsi" w:cs="Arial"/>
          <w:color w:val="002060"/>
        </w:rPr>
        <w:t>9</w:t>
      </w:r>
    </w:p>
    <w:p w:rsidR="0099569A" w:rsidRDefault="0099569A" w:rsidP="00C937FB">
      <w:pPr>
        <w:jc w:val="both"/>
        <w:rPr>
          <w:sz w:val="24"/>
          <w:szCs w:val="24"/>
        </w:rPr>
      </w:pPr>
    </w:p>
    <w:p w:rsidR="00C937FB" w:rsidRDefault="00C937FB" w:rsidP="00C937FB">
      <w:pPr>
        <w:jc w:val="both"/>
        <w:rPr>
          <w:sz w:val="24"/>
          <w:szCs w:val="24"/>
        </w:rPr>
      </w:pPr>
      <w:r>
        <w:rPr>
          <w:sz w:val="24"/>
          <w:szCs w:val="24"/>
        </w:rPr>
        <w:t>Konya Ticaret Odası</w:t>
      </w:r>
      <w:r w:rsidRPr="00F06F92">
        <w:rPr>
          <w:sz w:val="24"/>
          <w:szCs w:val="24"/>
        </w:rPr>
        <w:t xml:space="preserve"> </w:t>
      </w:r>
      <w:r>
        <w:rPr>
          <w:sz w:val="24"/>
          <w:szCs w:val="24"/>
        </w:rPr>
        <w:t xml:space="preserve">(KTO) </w:t>
      </w:r>
      <w:r w:rsidRPr="00F06F92">
        <w:rPr>
          <w:sz w:val="24"/>
          <w:szCs w:val="24"/>
        </w:rPr>
        <w:t>İstihdam İzleme Bülteni, Sosyal Güvenlik Kurumu (SGK), Türkiye İstatistik Kurumu (TÜİK) ve Türkiye İş Kurumu (İŞ</w:t>
      </w:r>
      <w:r>
        <w:rPr>
          <w:sz w:val="24"/>
          <w:szCs w:val="24"/>
        </w:rPr>
        <w:t xml:space="preserve">KUR) verilerinin bir </w:t>
      </w:r>
      <w:r w:rsidRPr="00F06F92">
        <w:rPr>
          <w:sz w:val="24"/>
          <w:szCs w:val="24"/>
        </w:rPr>
        <w:t xml:space="preserve">araya getirilerek </w:t>
      </w:r>
      <w:r>
        <w:rPr>
          <w:sz w:val="24"/>
          <w:szCs w:val="24"/>
        </w:rPr>
        <w:t xml:space="preserve">Konya’daki </w:t>
      </w:r>
      <w:r w:rsidRPr="00F06F92">
        <w:rPr>
          <w:sz w:val="24"/>
          <w:szCs w:val="24"/>
        </w:rPr>
        <w:t>kayıtlı istihdama</w:t>
      </w:r>
      <w:r>
        <w:rPr>
          <w:sz w:val="24"/>
          <w:szCs w:val="24"/>
        </w:rPr>
        <w:t xml:space="preserve"> (4/a, 4/b, 4/c)</w:t>
      </w:r>
      <w:r w:rsidRPr="00F06F92">
        <w:rPr>
          <w:sz w:val="24"/>
          <w:szCs w:val="24"/>
        </w:rPr>
        <w:t xml:space="preserve"> ilişkin </w:t>
      </w:r>
      <w:r>
        <w:rPr>
          <w:sz w:val="24"/>
          <w:szCs w:val="24"/>
        </w:rPr>
        <w:t>tespitler yapılmasını, ayrıca istihdam piyasasında Konya’nın Türkiye genelindeki yerinin</w:t>
      </w:r>
      <w:r w:rsidRPr="00F06F92">
        <w:rPr>
          <w:sz w:val="24"/>
          <w:szCs w:val="24"/>
        </w:rPr>
        <w:t xml:space="preserve"> </w:t>
      </w:r>
      <w:r>
        <w:rPr>
          <w:sz w:val="24"/>
          <w:szCs w:val="24"/>
        </w:rPr>
        <w:t>tes</w:t>
      </w:r>
      <w:r w:rsidRPr="00F06F92">
        <w:rPr>
          <w:sz w:val="24"/>
          <w:szCs w:val="24"/>
        </w:rPr>
        <w:t>pit edilmesini hedeflemektedir.</w:t>
      </w:r>
    </w:p>
    <w:p w:rsidR="00C937FB" w:rsidRDefault="00C937FB" w:rsidP="00C937FB">
      <w:pPr>
        <w:pStyle w:val="Balk1"/>
        <w:spacing w:before="0" w:after="240"/>
        <w:rPr>
          <w:rFonts w:asciiTheme="minorHAnsi" w:hAnsiTheme="minorHAnsi"/>
        </w:rPr>
      </w:pPr>
      <w:bookmarkStart w:id="0" w:name="_Toc318149671"/>
      <w:r>
        <w:rPr>
          <w:rFonts w:asciiTheme="minorHAnsi" w:hAnsiTheme="minorHAnsi"/>
        </w:rPr>
        <w:t>Konya, Gaziantep’ten sonra çalışa</w:t>
      </w:r>
      <w:r w:rsidR="00055B1C">
        <w:rPr>
          <w:rFonts w:asciiTheme="minorHAnsi" w:hAnsiTheme="minorHAnsi"/>
        </w:rPr>
        <w:t>n sayısı en fazla artan il oldu</w:t>
      </w:r>
    </w:p>
    <w:p w:rsidR="00C937FB" w:rsidRDefault="00C937FB" w:rsidP="00C937FB">
      <w:pPr>
        <w:jc w:val="both"/>
        <w:rPr>
          <w:sz w:val="24"/>
          <w:szCs w:val="24"/>
        </w:rPr>
      </w:pPr>
      <w:r>
        <w:rPr>
          <w:sz w:val="24"/>
          <w:szCs w:val="24"/>
        </w:rPr>
        <w:t>SGK verilerine göre Temmuz 2012’de sigortalı ücretli (4/a) çalışanların sayısı Türkiye genelinde 12 milyon 107 bin olurken Konya’da ise 260 bin olmuştur. Temmuz 2011’den Temmuz 2012’ye sigortalı ücretli sayısı Türkiye’de 995 bin (yüzde 8,9) artarken Konya’da 27 binden fazla (yüzde 11,8) artmıştır.</w:t>
      </w:r>
      <w:r w:rsidRPr="00C67A0B">
        <w:rPr>
          <w:sz w:val="24"/>
          <w:szCs w:val="24"/>
        </w:rPr>
        <w:t xml:space="preserve"> </w:t>
      </w:r>
      <w:r>
        <w:rPr>
          <w:sz w:val="24"/>
          <w:szCs w:val="24"/>
        </w:rPr>
        <w:t>Temmuz 2009’dan Temmuz 2012’ye Türkiye’deki sigortalı ücretli çalışan sayısı yüzde 34,3 artarken, Konya’da artış oranı yüzde 40,5 olmuştur.</w:t>
      </w:r>
    </w:p>
    <w:p w:rsidR="00C937FB" w:rsidRDefault="00C937FB" w:rsidP="00C937FB">
      <w:pPr>
        <w:jc w:val="both"/>
        <w:rPr>
          <w:sz w:val="24"/>
          <w:szCs w:val="24"/>
        </w:rPr>
      </w:pPr>
      <w:r>
        <w:rPr>
          <w:sz w:val="24"/>
          <w:szCs w:val="24"/>
        </w:rPr>
        <w:t xml:space="preserve">Mevsimsellikten arındırılmış serilerde ise son 1 ayda sigortalı ücretli çalışan sayısındaki artış Konya’da yüzde 1,1 olurken ve Türkiye’de yüzde 0,6 olmuştur. </w:t>
      </w:r>
    </w:p>
    <w:p w:rsidR="00C937FB" w:rsidRPr="00F5336E" w:rsidRDefault="00C937FB" w:rsidP="00055B1C">
      <w:pPr>
        <w:pStyle w:val="Balk2"/>
        <w:ind w:firstLine="0"/>
        <w:rPr>
          <w:rFonts w:asciiTheme="minorHAnsi" w:hAnsiTheme="minorHAnsi"/>
          <w:sz w:val="24"/>
        </w:rPr>
      </w:pPr>
      <w:r w:rsidRPr="00F5336E">
        <w:rPr>
          <w:rFonts w:asciiTheme="minorHAnsi" w:hAnsiTheme="minorHAnsi"/>
          <w:sz w:val="24"/>
        </w:rPr>
        <w:t xml:space="preserve">Tablo </w:t>
      </w:r>
      <w:r>
        <w:rPr>
          <w:rFonts w:asciiTheme="minorHAnsi" w:hAnsiTheme="minorHAnsi"/>
          <w:sz w:val="24"/>
        </w:rPr>
        <w:t>1</w:t>
      </w:r>
      <w:r w:rsidRPr="00F5336E">
        <w:rPr>
          <w:rFonts w:asciiTheme="minorHAnsi" w:hAnsiTheme="minorHAnsi"/>
          <w:sz w:val="24"/>
        </w:rPr>
        <w:t xml:space="preserve">. Sigortalı </w:t>
      </w:r>
      <w:r>
        <w:rPr>
          <w:rFonts w:asciiTheme="minorHAnsi" w:hAnsiTheme="minorHAnsi"/>
          <w:sz w:val="24"/>
        </w:rPr>
        <w:t xml:space="preserve">Ücretli (4/a) </w:t>
      </w:r>
      <w:r w:rsidRPr="00F5336E">
        <w:rPr>
          <w:rFonts w:asciiTheme="minorHAnsi" w:hAnsiTheme="minorHAnsi"/>
          <w:sz w:val="24"/>
        </w:rPr>
        <w:t>Çalışan Sayısı (</w:t>
      </w:r>
      <w:r>
        <w:rPr>
          <w:rFonts w:asciiTheme="minorHAnsi" w:hAnsiTheme="minorHAnsi"/>
          <w:sz w:val="24"/>
        </w:rPr>
        <w:t>Temmuz, 2009-2012; Haziran-Temmuz 2012</w:t>
      </w:r>
      <w:r w:rsidRPr="00F5336E">
        <w:rPr>
          <w:rFonts w:asciiTheme="minorHAnsi" w:hAnsiTheme="minorHAnsi"/>
          <w:sz w:val="24"/>
        </w:rPr>
        <w:t>)</w:t>
      </w:r>
      <w:bookmarkEnd w:id="0"/>
    </w:p>
    <w:tbl>
      <w:tblPr>
        <w:tblW w:w="5948" w:type="dxa"/>
        <w:jc w:val="center"/>
        <w:tblInd w:w="-4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508"/>
        <w:gridCol w:w="1220"/>
        <w:gridCol w:w="1220"/>
      </w:tblGrid>
      <w:tr w:rsidR="00C937FB" w:rsidRPr="005E0FA6" w:rsidTr="00FC1B6B">
        <w:trPr>
          <w:trHeight w:val="713"/>
          <w:jc w:val="center"/>
        </w:trPr>
        <w:tc>
          <w:tcPr>
            <w:tcW w:w="3508" w:type="dxa"/>
            <w:tcBorders>
              <w:top w:val="single" w:sz="8" w:space="0" w:color="FFFFFF"/>
              <w:bottom w:val="single" w:sz="24" w:space="0" w:color="FFFFFF"/>
              <w:right w:val="single" w:sz="8" w:space="0" w:color="FFFFFF"/>
            </w:tcBorders>
            <w:shd w:val="clear" w:color="auto" w:fill="4F81BD"/>
            <w:noWrap/>
          </w:tcPr>
          <w:p w:rsidR="00C937FB" w:rsidRPr="005E0FA6" w:rsidRDefault="00C937FB" w:rsidP="00FC1B6B">
            <w:pPr>
              <w:spacing w:after="0" w:line="240" w:lineRule="auto"/>
              <w:ind w:left="-690"/>
              <w:rPr>
                <w:rFonts w:cs="Calibri"/>
                <w:b/>
                <w:bCs/>
                <w:color w:val="000000"/>
                <w:sz w:val="20"/>
              </w:rPr>
            </w:pPr>
          </w:p>
        </w:tc>
        <w:tc>
          <w:tcPr>
            <w:tcW w:w="1220" w:type="dxa"/>
            <w:tcBorders>
              <w:top w:val="single" w:sz="8" w:space="0" w:color="FFFFFF"/>
              <w:bottom w:val="single" w:sz="24" w:space="0" w:color="FFFFFF"/>
            </w:tcBorders>
            <w:shd w:val="clear" w:color="auto" w:fill="4F81BD"/>
            <w:vAlign w:val="center"/>
          </w:tcPr>
          <w:p w:rsidR="00C937FB" w:rsidRPr="005E0FA6" w:rsidRDefault="00C937FB" w:rsidP="00FC1B6B">
            <w:pPr>
              <w:spacing w:after="0" w:line="240" w:lineRule="auto"/>
              <w:jc w:val="center"/>
              <w:rPr>
                <w:rFonts w:cs="Calibri"/>
                <w:b/>
                <w:bCs/>
                <w:color w:val="000000"/>
              </w:rPr>
            </w:pPr>
            <w:r>
              <w:rPr>
                <w:rFonts w:cs="Calibri"/>
                <w:b/>
                <w:bCs/>
                <w:color w:val="000000"/>
              </w:rPr>
              <w:t>Konya (</w:t>
            </w:r>
            <w:r w:rsidRPr="005E0FA6">
              <w:rPr>
                <w:rFonts w:cs="Calibri"/>
                <w:b/>
                <w:bCs/>
                <w:color w:val="000000"/>
              </w:rPr>
              <w:t>4/</w:t>
            </w:r>
            <w:r>
              <w:rPr>
                <w:rFonts w:cs="Calibri"/>
                <w:b/>
                <w:bCs/>
                <w:color w:val="000000"/>
              </w:rPr>
              <w:t>a)</w:t>
            </w:r>
          </w:p>
        </w:tc>
        <w:tc>
          <w:tcPr>
            <w:tcW w:w="1220" w:type="dxa"/>
            <w:tcBorders>
              <w:top w:val="single" w:sz="8" w:space="0" w:color="FFFFFF"/>
              <w:left w:val="single" w:sz="8" w:space="0" w:color="FFFFFF"/>
              <w:bottom w:val="single" w:sz="24" w:space="0" w:color="FFFFFF"/>
              <w:right w:val="single" w:sz="8" w:space="0" w:color="FFFFFF"/>
            </w:tcBorders>
            <w:shd w:val="clear" w:color="auto" w:fill="4F81BD"/>
            <w:noWrap/>
            <w:vAlign w:val="center"/>
          </w:tcPr>
          <w:p w:rsidR="00C937FB" w:rsidRPr="005E0FA6" w:rsidRDefault="00C937FB" w:rsidP="00FC1B6B">
            <w:pPr>
              <w:spacing w:after="0" w:line="240" w:lineRule="auto"/>
              <w:jc w:val="center"/>
              <w:rPr>
                <w:rFonts w:cs="Calibri"/>
                <w:b/>
                <w:bCs/>
                <w:color w:val="000000"/>
              </w:rPr>
            </w:pPr>
            <w:r>
              <w:rPr>
                <w:rFonts w:cs="Calibri"/>
                <w:b/>
                <w:bCs/>
                <w:color w:val="000000"/>
              </w:rPr>
              <w:t>Türkiye (</w:t>
            </w:r>
            <w:r w:rsidRPr="005E0FA6">
              <w:rPr>
                <w:rFonts w:cs="Calibri"/>
                <w:b/>
                <w:bCs/>
                <w:color w:val="000000"/>
              </w:rPr>
              <w:t>4/a</w:t>
            </w:r>
            <w:r>
              <w:rPr>
                <w:rFonts w:cs="Calibri"/>
                <w:b/>
                <w:bCs/>
                <w:color w:val="000000"/>
              </w:rPr>
              <w:t>)</w:t>
            </w:r>
          </w:p>
        </w:tc>
      </w:tr>
      <w:tr w:rsidR="00C937FB" w:rsidRPr="005E0FA6" w:rsidTr="00FC1B6B">
        <w:trPr>
          <w:trHeight w:val="268"/>
          <w:jc w:val="center"/>
        </w:trPr>
        <w:tc>
          <w:tcPr>
            <w:tcW w:w="350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 xml:space="preserve">Temmuz </w:t>
            </w:r>
            <w:r w:rsidRPr="005E0FA6">
              <w:rPr>
                <w:rFonts w:cs="Calibri"/>
                <w:b/>
                <w:bCs/>
                <w:color w:val="000000"/>
              </w:rPr>
              <w:t>200</w:t>
            </w:r>
            <w:r>
              <w:rPr>
                <w:rFonts w:cs="Calibri"/>
                <w:b/>
                <w:bCs/>
                <w:color w:val="000000"/>
              </w:rPr>
              <w:t>9</w:t>
            </w:r>
          </w:p>
        </w:tc>
        <w:tc>
          <w:tcPr>
            <w:tcW w:w="1220" w:type="dxa"/>
            <w:tcBorders>
              <w:top w:val="single" w:sz="8" w:space="0" w:color="FFFFFF"/>
              <w:bottom w:val="single" w:sz="8" w:space="0" w:color="FFFFFF"/>
            </w:tcBorders>
            <w:shd w:val="clear" w:color="auto" w:fill="A7BFDE"/>
            <w:vAlign w:val="center"/>
          </w:tcPr>
          <w:p w:rsidR="00C937FB" w:rsidRPr="004D3DEF" w:rsidRDefault="00C937FB" w:rsidP="00FC1B6B">
            <w:pPr>
              <w:spacing w:after="0" w:line="240" w:lineRule="auto"/>
              <w:jc w:val="center"/>
              <w:rPr>
                <w:rFonts w:cs="Calibri"/>
                <w:bCs/>
                <w:color w:val="000000"/>
              </w:rPr>
            </w:pPr>
            <w:r>
              <w:rPr>
                <w:rFonts w:cs="Calibri"/>
                <w:bCs/>
                <w:color w:val="000000"/>
              </w:rPr>
              <w:t>185.216</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887F26" w:rsidRDefault="00C937FB" w:rsidP="00FC1B6B">
            <w:pPr>
              <w:spacing w:after="0" w:line="240" w:lineRule="auto"/>
              <w:jc w:val="center"/>
              <w:rPr>
                <w:rFonts w:cs="Calibri"/>
                <w:bCs/>
                <w:color w:val="000000"/>
              </w:rPr>
            </w:pPr>
            <w:r w:rsidRPr="00887F26">
              <w:rPr>
                <w:rFonts w:cs="Calibri"/>
                <w:bCs/>
                <w:color w:val="000000"/>
              </w:rPr>
              <w:t>9.013.349</w:t>
            </w:r>
          </w:p>
        </w:tc>
      </w:tr>
      <w:tr w:rsidR="00C937FB" w:rsidRPr="005E0FA6" w:rsidTr="00FC1B6B">
        <w:trPr>
          <w:trHeight w:val="268"/>
          <w:jc w:val="center"/>
        </w:trPr>
        <w:tc>
          <w:tcPr>
            <w:tcW w:w="3508" w:type="dxa"/>
            <w:tcBorders>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w:t>
            </w:r>
            <w:r>
              <w:rPr>
                <w:rFonts w:cs="Calibri"/>
                <w:b/>
                <w:bCs/>
                <w:color w:val="000000"/>
              </w:rPr>
              <w:t>10</w:t>
            </w:r>
          </w:p>
        </w:tc>
        <w:tc>
          <w:tcPr>
            <w:tcW w:w="1220" w:type="dxa"/>
            <w:shd w:val="clear" w:color="auto" w:fill="D3DFEE"/>
            <w:vAlign w:val="center"/>
          </w:tcPr>
          <w:p w:rsidR="00C937FB" w:rsidRPr="004D3DEF" w:rsidRDefault="00C937FB" w:rsidP="00FC1B6B">
            <w:pPr>
              <w:spacing w:after="0" w:line="240" w:lineRule="auto"/>
              <w:jc w:val="center"/>
              <w:rPr>
                <w:rFonts w:cs="Calibri"/>
                <w:bCs/>
                <w:color w:val="000000"/>
              </w:rPr>
            </w:pPr>
            <w:r>
              <w:rPr>
                <w:rFonts w:cs="Calibri"/>
                <w:bCs/>
                <w:color w:val="000000"/>
              </w:rPr>
              <w:t>209.705</w:t>
            </w:r>
          </w:p>
        </w:tc>
        <w:tc>
          <w:tcPr>
            <w:tcW w:w="1220" w:type="dxa"/>
            <w:shd w:val="clear" w:color="auto" w:fill="D3DFEE"/>
            <w:noWrap/>
            <w:vAlign w:val="center"/>
          </w:tcPr>
          <w:p w:rsidR="00C937FB" w:rsidRPr="004D3DEF" w:rsidRDefault="00C937FB" w:rsidP="00FC1B6B">
            <w:pPr>
              <w:spacing w:after="0" w:line="240" w:lineRule="auto"/>
              <w:jc w:val="center"/>
              <w:rPr>
                <w:rFonts w:cs="Calibri"/>
                <w:bCs/>
                <w:color w:val="000000"/>
              </w:rPr>
            </w:pPr>
            <w:r>
              <w:rPr>
                <w:rFonts w:cs="Calibri"/>
                <w:bCs/>
                <w:color w:val="000000"/>
              </w:rPr>
              <w:t>9.976.855</w:t>
            </w:r>
          </w:p>
        </w:tc>
      </w:tr>
      <w:tr w:rsidR="00C937FB" w:rsidRPr="005E0FA6" w:rsidTr="00FC1B6B">
        <w:trPr>
          <w:trHeight w:val="268"/>
          <w:jc w:val="center"/>
        </w:trPr>
        <w:tc>
          <w:tcPr>
            <w:tcW w:w="350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1</w:t>
            </w:r>
          </w:p>
        </w:tc>
        <w:tc>
          <w:tcPr>
            <w:tcW w:w="1220" w:type="dxa"/>
            <w:tcBorders>
              <w:top w:val="single" w:sz="8" w:space="0" w:color="FFFFFF"/>
              <w:bottom w:val="single" w:sz="8" w:space="0" w:color="FFFFFF"/>
            </w:tcBorders>
            <w:shd w:val="clear" w:color="auto" w:fill="A7BFDE"/>
            <w:vAlign w:val="center"/>
          </w:tcPr>
          <w:p w:rsidR="00C937FB" w:rsidRPr="004D3DEF" w:rsidRDefault="00C937FB" w:rsidP="00FC1B6B">
            <w:pPr>
              <w:spacing w:after="0" w:line="240" w:lineRule="auto"/>
              <w:jc w:val="center"/>
              <w:rPr>
                <w:rFonts w:cs="Calibri"/>
                <w:bCs/>
                <w:color w:val="000000"/>
              </w:rPr>
            </w:pPr>
            <w:r>
              <w:rPr>
                <w:rFonts w:cs="Calibri"/>
                <w:bCs/>
                <w:color w:val="000000"/>
              </w:rPr>
              <w:t>232.643</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4D3DEF" w:rsidRDefault="00C937FB" w:rsidP="00FC1B6B">
            <w:pPr>
              <w:spacing w:after="0" w:line="240" w:lineRule="auto"/>
              <w:jc w:val="center"/>
              <w:rPr>
                <w:rFonts w:cs="Calibri"/>
                <w:bCs/>
                <w:color w:val="000000"/>
              </w:rPr>
            </w:pPr>
            <w:r>
              <w:rPr>
                <w:rFonts w:cs="Calibri"/>
                <w:bCs/>
                <w:color w:val="000000"/>
              </w:rPr>
              <w:t>11.112.453</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2</w:t>
            </w:r>
          </w:p>
        </w:tc>
        <w:tc>
          <w:tcPr>
            <w:tcW w:w="1220" w:type="dxa"/>
            <w:shd w:val="clear" w:color="auto" w:fill="D3DFEE"/>
            <w:vAlign w:val="center"/>
          </w:tcPr>
          <w:p w:rsidR="00C937FB" w:rsidRPr="004D3DEF" w:rsidRDefault="00C937FB" w:rsidP="00FC1B6B">
            <w:pPr>
              <w:spacing w:after="0" w:line="240" w:lineRule="auto"/>
              <w:jc w:val="center"/>
              <w:rPr>
                <w:rFonts w:cs="Calibri"/>
                <w:bCs/>
                <w:color w:val="000000"/>
              </w:rPr>
            </w:pPr>
            <w:r>
              <w:rPr>
                <w:rFonts w:cs="Calibri"/>
                <w:bCs/>
                <w:color w:val="000000"/>
              </w:rPr>
              <w:t>260.190</w:t>
            </w:r>
          </w:p>
        </w:tc>
        <w:tc>
          <w:tcPr>
            <w:tcW w:w="1220" w:type="dxa"/>
            <w:shd w:val="clear" w:color="auto" w:fill="D3DFEE"/>
            <w:noWrap/>
            <w:vAlign w:val="center"/>
          </w:tcPr>
          <w:p w:rsidR="00C937FB" w:rsidRPr="004D3DEF" w:rsidRDefault="00C937FB" w:rsidP="00FC1B6B">
            <w:pPr>
              <w:spacing w:after="0" w:line="240" w:lineRule="auto"/>
              <w:jc w:val="center"/>
              <w:rPr>
                <w:rFonts w:cs="Calibri"/>
                <w:bCs/>
                <w:color w:val="000000"/>
              </w:rPr>
            </w:pPr>
            <w:r>
              <w:rPr>
                <w:rFonts w:cs="Calibri"/>
                <w:bCs/>
                <w:color w:val="000000"/>
              </w:rPr>
              <w:t>12.107.944</w:t>
            </w:r>
          </w:p>
        </w:tc>
      </w:tr>
      <w:tr w:rsidR="00C937FB" w:rsidRPr="005E0FA6" w:rsidTr="00FC1B6B">
        <w:trPr>
          <w:trHeight w:val="268"/>
          <w:jc w:val="center"/>
        </w:trPr>
        <w:tc>
          <w:tcPr>
            <w:tcW w:w="5948" w:type="dxa"/>
            <w:gridSpan w:val="3"/>
            <w:shd w:val="clear" w:color="auto" w:fill="4F81BD"/>
            <w:noWrap/>
            <w:vAlign w:val="center"/>
          </w:tcPr>
          <w:p w:rsidR="00C937FB" w:rsidRPr="00A739DC"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11</w:t>
            </w:r>
            <w:r w:rsidRPr="005E0FA6">
              <w:rPr>
                <w:rFonts w:cs="Calibri"/>
                <w:b/>
                <w:bCs/>
                <w:color w:val="000000"/>
              </w:rPr>
              <w:t xml:space="preserve"> (Fark)</w:t>
            </w:r>
          </w:p>
        </w:tc>
        <w:tc>
          <w:tcPr>
            <w:tcW w:w="1220" w:type="dxa"/>
            <w:shd w:val="clear" w:color="auto" w:fill="D3DFEE"/>
            <w:vAlign w:val="center"/>
          </w:tcPr>
          <w:p w:rsidR="00C937FB" w:rsidRPr="00217B25" w:rsidRDefault="00C937FB" w:rsidP="00FC1B6B">
            <w:pPr>
              <w:spacing w:after="0" w:line="240" w:lineRule="auto"/>
              <w:jc w:val="center"/>
              <w:rPr>
                <w:rFonts w:cs="Calibri"/>
                <w:bCs/>
                <w:color w:val="000000"/>
              </w:rPr>
            </w:pPr>
            <w:r>
              <w:rPr>
                <w:rFonts w:cs="Calibri"/>
                <w:bCs/>
                <w:color w:val="000000"/>
              </w:rPr>
              <w:t>27.547</w:t>
            </w:r>
          </w:p>
        </w:tc>
        <w:tc>
          <w:tcPr>
            <w:tcW w:w="1220" w:type="dxa"/>
            <w:shd w:val="clear" w:color="auto" w:fill="D3DFEE"/>
            <w:noWrap/>
            <w:vAlign w:val="center"/>
          </w:tcPr>
          <w:p w:rsidR="00C937FB" w:rsidRPr="00217B25" w:rsidRDefault="00C937FB" w:rsidP="00FC1B6B">
            <w:pPr>
              <w:spacing w:after="0" w:line="240" w:lineRule="auto"/>
              <w:jc w:val="center"/>
              <w:rPr>
                <w:rFonts w:cs="Calibri"/>
                <w:bCs/>
                <w:color w:val="000000"/>
              </w:rPr>
            </w:pPr>
            <w:r>
              <w:rPr>
                <w:rFonts w:cs="Calibri"/>
                <w:bCs/>
                <w:color w:val="000000"/>
              </w:rPr>
              <w:t>995.491</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Temmuz 11</w:t>
            </w:r>
            <w:r w:rsidRPr="005E0FA6">
              <w:rPr>
                <w:rFonts w:cs="Calibri"/>
                <w:b/>
                <w:bCs/>
                <w:color w:val="000000"/>
              </w:rPr>
              <w:t xml:space="preserve"> (Artış, %)</w:t>
            </w:r>
          </w:p>
        </w:tc>
        <w:tc>
          <w:tcPr>
            <w:tcW w:w="1220" w:type="dxa"/>
            <w:shd w:val="clear" w:color="auto" w:fill="D3DFEE"/>
            <w:vAlign w:val="center"/>
          </w:tcPr>
          <w:p w:rsidR="00C937FB" w:rsidRPr="008A32EA" w:rsidRDefault="00C937FB" w:rsidP="00FC1B6B">
            <w:pPr>
              <w:spacing w:after="0" w:line="240" w:lineRule="auto"/>
              <w:jc w:val="center"/>
              <w:rPr>
                <w:rFonts w:cs="Calibri"/>
                <w:bCs/>
                <w:color w:val="000000"/>
              </w:rPr>
            </w:pPr>
            <w:r>
              <w:rPr>
                <w:rFonts w:cs="Calibri"/>
                <w:bCs/>
                <w:color w:val="000000"/>
              </w:rPr>
              <w:t>11,8</w:t>
            </w:r>
          </w:p>
        </w:tc>
        <w:tc>
          <w:tcPr>
            <w:tcW w:w="1220" w:type="dxa"/>
            <w:shd w:val="clear" w:color="auto" w:fill="D3DFEE"/>
            <w:noWrap/>
            <w:vAlign w:val="center"/>
          </w:tcPr>
          <w:p w:rsidR="00C937FB" w:rsidRPr="008A32EA" w:rsidRDefault="00C937FB" w:rsidP="00FC1B6B">
            <w:pPr>
              <w:spacing w:after="0" w:line="240" w:lineRule="auto"/>
              <w:jc w:val="center"/>
              <w:rPr>
                <w:rFonts w:cs="Calibri"/>
                <w:bCs/>
                <w:color w:val="000000"/>
              </w:rPr>
            </w:pPr>
            <w:r>
              <w:rPr>
                <w:rFonts w:cs="Calibri"/>
                <w:bCs/>
                <w:color w:val="000000"/>
              </w:rPr>
              <w:t>8,9</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11 - Temmuz 10</w:t>
            </w:r>
            <w:r w:rsidRPr="005E0FA6">
              <w:rPr>
                <w:rFonts w:cs="Calibri"/>
                <w:b/>
                <w:bCs/>
                <w:color w:val="000000"/>
              </w:rPr>
              <w:t xml:space="preserve"> (Artış, %)</w:t>
            </w:r>
          </w:p>
        </w:tc>
        <w:tc>
          <w:tcPr>
            <w:tcW w:w="1220" w:type="dxa"/>
            <w:shd w:val="clear" w:color="auto" w:fill="D3DFEE"/>
            <w:vAlign w:val="center"/>
          </w:tcPr>
          <w:p w:rsidR="00C937FB" w:rsidRPr="008A32EA" w:rsidRDefault="00C937FB" w:rsidP="00FC1B6B">
            <w:pPr>
              <w:spacing w:after="0" w:line="240" w:lineRule="auto"/>
              <w:jc w:val="center"/>
              <w:rPr>
                <w:rFonts w:cs="Calibri"/>
                <w:bCs/>
                <w:color w:val="000000"/>
              </w:rPr>
            </w:pPr>
            <w:r>
              <w:rPr>
                <w:rFonts w:cs="Calibri"/>
                <w:bCs/>
                <w:color w:val="000000"/>
              </w:rPr>
              <w:t>10,9</w:t>
            </w:r>
          </w:p>
        </w:tc>
        <w:tc>
          <w:tcPr>
            <w:tcW w:w="1220" w:type="dxa"/>
            <w:shd w:val="clear" w:color="auto" w:fill="D3DFEE"/>
            <w:noWrap/>
            <w:vAlign w:val="center"/>
          </w:tcPr>
          <w:p w:rsidR="00C937FB" w:rsidRPr="008A32EA" w:rsidRDefault="00C937FB" w:rsidP="00FC1B6B">
            <w:pPr>
              <w:spacing w:after="0" w:line="240" w:lineRule="auto"/>
              <w:jc w:val="center"/>
              <w:rPr>
                <w:rFonts w:cs="Calibri"/>
                <w:bCs/>
                <w:color w:val="000000"/>
              </w:rPr>
            </w:pPr>
            <w:r>
              <w:rPr>
                <w:rFonts w:cs="Calibri"/>
                <w:bCs/>
                <w:color w:val="000000"/>
              </w:rPr>
              <w:t>11,4</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10 - Temmuz 09</w:t>
            </w:r>
            <w:r w:rsidRPr="005E0FA6">
              <w:rPr>
                <w:rFonts w:cs="Calibri"/>
                <w:b/>
                <w:bCs/>
                <w:color w:val="000000"/>
              </w:rPr>
              <w:t xml:space="preserve"> (Artış, %)</w:t>
            </w:r>
          </w:p>
        </w:tc>
        <w:tc>
          <w:tcPr>
            <w:tcW w:w="1220" w:type="dxa"/>
            <w:shd w:val="clear" w:color="auto" w:fill="D3DFEE"/>
            <w:vAlign w:val="center"/>
          </w:tcPr>
          <w:p w:rsidR="00C937FB" w:rsidRPr="008A32EA" w:rsidRDefault="00C937FB" w:rsidP="00FC1B6B">
            <w:pPr>
              <w:spacing w:after="0" w:line="240" w:lineRule="auto"/>
              <w:jc w:val="center"/>
              <w:rPr>
                <w:rFonts w:cs="Calibri"/>
                <w:bCs/>
                <w:color w:val="000000"/>
              </w:rPr>
            </w:pPr>
            <w:r>
              <w:rPr>
                <w:rFonts w:cs="Calibri"/>
                <w:bCs/>
                <w:color w:val="000000"/>
              </w:rPr>
              <w:t>13,2</w:t>
            </w:r>
          </w:p>
        </w:tc>
        <w:tc>
          <w:tcPr>
            <w:tcW w:w="1220" w:type="dxa"/>
            <w:shd w:val="clear" w:color="auto" w:fill="D3DFEE"/>
            <w:noWrap/>
            <w:vAlign w:val="center"/>
          </w:tcPr>
          <w:p w:rsidR="00C937FB" w:rsidRPr="008A32EA" w:rsidRDefault="00C937FB" w:rsidP="00FC1B6B">
            <w:pPr>
              <w:spacing w:after="0" w:line="240" w:lineRule="auto"/>
              <w:jc w:val="center"/>
              <w:rPr>
                <w:rFonts w:cs="Calibri"/>
                <w:bCs/>
                <w:color w:val="000000"/>
              </w:rPr>
            </w:pPr>
            <w:r>
              <w:rPr>
                <w:rFonts w:cs="Calibri"/>
                <w:bCs/>
                <w:color w:val="000000"/>
              </w:rPr>
              <w:t>10,7</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09</w:t>
            </w:r>
            <w:r w:rsidRPr="005E0FA6">
              <w:rPr>
                <w:rFonts w:cs="Calibri"/>
                <w:b/>
                <w:bCs/>
                <w:color w:val="000000"/>
              </w:rPr>
              <w:t xml:space="preserve"> (Artış, %)</w:t>
            </w:r>
          </w:p>
        </w:tc>
        <w:tc>
          <w:tcPr>
            <w:tcW w:w="1220" w:type="dxa"/>
            <w:shd w:val="clear" w:color="auto" w:fill="D3DFEE"/>
            <w:vAlign w:val="center"/>
          </w:tcPr>
          <w:p w:rsidR="00C937FB" w:rsidRPr="008A32EA" w:rsidRDefault="00C937FB" w:rsidP="00FC1B6B">
            <w:pPr>
              <w:spacing w:after="0" w:line="240" w:lineRule="auto"/>
              <w:jc w:val="center"/>
              <w:rPr>
                <w:rFonts w:cs="Calibri"/>
                <w:bCs/>
                <w:color w:val="000000"/>
              </w:rPr>
            </w:pPr>
            <w:r>
              <w:rPr>
                <w:rFonts w:cs="Calibri"/>
                <w:bCs/>
                <w:color w:val="000000"/>
              </w:rPr>
              <w:t>40,5</w:t>
            </w:r>
          </w:p>
        </w:tc>
        <w:tc>
          <w:tcPr>
            <w:tcW w:w="1220" w:type="dxa"/>
            <w:shd w:val="clear" w:color="auto" w:fill="D3DFEE"/>
            <w:noWrap/>
            <w:vAlign w:val="center"/>
          </w:tcPr>
          <w:p w:rsidR="00C937FB" w:rsidRPr="008A32EA" w:rsidRDefault="00C937FB" w:rsidP="00FC1B6B">
            <w:pPr>
              <w:spacing w:after="0" w:line="240" w:lineRule="auto"/>
              <w:jc w:val="center"/>
              <w:rPr>
                <w:rFonts w:cs="Calibri"/>
                <w:bCs/>
                <w:color w:val="000000"/>
              </w:rPr>
            </w:pPr>
            <w:r>
              <w:rPr>
                <w:rFonts w:cs="Calibri"/>
                <w:bCs/>
                <w:color w:val="000000"/>
              </w:rPr>
              <w:t>34,3</w:t>
            </w:r>
          </w:p>
        </w:tc>
      </w:tr>
      <w:tr w:rsidR="00C937FB" w:rsidRPr="005E0FA6" w:rsidTr="00FC1B6B">
        <w:trPr>
          <w:trHeight w:val="268"/>
          <w:jc w:val="center"/>
        </w:trPr>
        <w:tc>
          <w:tcPr>
            <w:tcW w:w="5948" w:type="dxa"/>
            <w:gridSpan w:val="3"/>
            <w:shd w:val="clear" w:color="auto" w:fill="4F81BD"/>
            <w:noWrap/>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Haziran 2012*</w:t>
            </w:r>
          </w:p>
        </w:tc>
        <w:tc>
          <w:tcPr>
            <w:tcW w:w="1220" w:type="dxa"/>
            <w:shd w:val="clear" w:color="auto" w:fill="D3DFEE"/>
            <w:vAlign w:val="center"/>
          </w:tcPr>
          <w:p w:rsidR="00C937FB" w:rsidRPr="00217B25" w:rsidRDefault="00C937FB" w:rsidP="00FC1B6B">
            <w:pPr>
              <w:spacing w:after="0" w:line="240" w:lineRule="auto"/>
              <w:jc w:val="center"/>
              <w:rPr>
                <w:rFonts w:cs="Calibri"/>
                <w:bCs/>
                <w:color w:val="000000"/>
              </w:rPr>
            </w:pPr>
            <w:r>
              <w:rPr>
                <w:rFonts w:cs="Calibri"/>
                <w:bCs/>
                <w:color w:val="000000"/>
              </w:rPr>
              <w:t>240.157</w:t>
            </w:r>
          </w:p>
        </w:tc>
        <w:tc>
          <w:tcPr>
            <w:tcW w:w="1220" w:type="dxa"/>
            <w:shd w:val="clear" w:color="auto" w:fill="D3DFEE"/>
            <w:noWrap/>
            <w:vAlign w:val="center"/>
          </w:tcPr>
          <w:p w:rsidR="00C937FB" w:rsidRPr="00217B25" w:rsidRDefault="00C937FB" w:rsidP="00FC1B6B">
            <w:pPr>
              <w:spacing w:after="0" w:line="240" w:lineRule="auto"/>
              <w:jc w:val="center"/>
              <w:rPr>
                <w:rFonts w:cs="Calibri"/>
                <w:bCs/>
                <w:color w:val="000000"/>
              </w:rPr>
            </w:pPr>
            <w:r>
              <w:rPr>
                <w:rFonts w:cs="Calibri"/>
                <w:bCs/>
                <w:color w:val="000000"/>
              </w:rPr>
              <w:t>11.676.190</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Temmuz 2012*</w:t>
            </w:r>
          </w:p>
        </w:tc>
        <w:tc>
          <w:tcPr>
            <w:tcW w:w="1220" w:type="dxa"/>
            <w:shd w:val="clear" w:color="auto" w:fill="D3DFEE"/>
            <w:vAlign w:val="center"/>
          </w:tcPr>
          <w:p w:rsidR="00C937FB" w:rsidRPr="00217B25" w:rsidRDefault="00C937FB" w:rsidP="00FC1B6B">
            <w:pPr>
              <w:spacing w:after="0" w:line="240" w:lineRule="auto"/>
              <w:jc w:val="center"/>
              <w:rPr>
                <w:rFonts w:cs="Calibri"/>
                <w:bCs/>
                <w:color w:val="000000"/>
              </w:rPr>
            </w:pPr>
            <w:r>
              <w:rPr>
                <w:rFonts w:cs="Calibri"/>
                <w:bCs/>
                <w:color w:val="000000"/>
              </w:rPr>
              <w:t>242.831</w:t>
            </w:r>
          </w:p>
        </w:tc>
        <w:tc>
          <w:tcPr>
            <w:tcW w:w="1220" w:type="dxa"/>
            <w:shd w:val="clear" w:color="auto" w:fill="D3DFEE"/>
            <w:noWrap/>
            <w:vAlign w:val="center"/>
          </w:tcPr>
          <w:p w:rsidR="00C937FB" w:rsidRPr="00217B25" w:rsidRDefault="00C937FB" w:rsidP="00FC1B6B">
            <w:pPr>
              <w:spacing w:after="0" w:line="240" w:lineRule="auto"/>
              <w:jc w:val="center"/>
              <w:rPr>
                <w:rFonts w:cs="Calibri"/>
                <w:bCs/>
                <w:color w:val="000000"/>
              </w:rPr>
            </w:pPr>
            <w:r>
              <w:rPr>
                <w:rFonts w:cs="Calibri"/>
                <w:bCs/>
                <w:color w:val="000000"/>
              </w:rPr>
              <w:t>11.753.749</w:t>
            </w:r>
          </w:p>
        </w:tc>
      </w:tr>
      <w:tr w:rsidR="00C937FB" w:rsidRPr="008A32EA"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Haziran 12</w:t>
            </w:r>
            <w:r w:rsidRPr="005E0FA6">
              <w:rPr>
                <w:rFonts w:cs="Calibri"/>
                <w:b/>
                <w:bCs/>
                <w:color w:val="000000"/>
              </w:rPr>
              <w:t xml:space="preserve"> (Fark)</w:t>
            </w:r>
            <w:r>
              <w:rPr>
                <w:rFonts w:cs="Calibri"/>
                <w:b/>
                <w:bCs/>
                <w:color w:val="000000"/>
              </w:rPr>
              <w:t>*</w:t>
            </w:r>
          </w:p>
        </w:tc>
        <w:tc>
          <w:tcPr>
            <w:tcW w:w="1220" w:type="dxa"/>
            <w:shd w:val="clear" w:color="auto" w:fill="D3DFEE"/>
            <w:vAlign w:val="center"/>
          </w:tcPr>
          <w:p w:rsidR="00C937FB" w:rsidRPr="004416ED" w:rsidRDefault="00C937FB" w:rsidP="00FC1B6B">
            <w:pPr>
              <w:spacing w:after="0" w:line="240" w:lineRule="auto"/>
              <w:jc w:val="center"/>
              <w:rPr>
                <w:rFonts w:cs="Calibri"/>
                <w:bCs/>
                <w:color w:val="000000"/>
              </w:rPr>
            </w:pPr>
            <w:r>
              <w:rPr>
                <w:rFonts w:cs="Calibri"/>
                <w:bCs/>
                <w:color w:val="000000"/>
              </w:rPr>
              <w:t>2.674</w:t>
            </w:r>
          </w:p>
        </w:tc>
        <w:tc>
          <w:tcPr>
            <w:tcW w:w="1220" w:type="dxa"/>
            <w:shd w:val="clear" w:color="auto" w:fill="D3DFEE"/>
            <w:noWrap/>
            <w:vAlign w:val="center"/>
          </w:tcPr>
          <w:p w:rsidR="00C937FB" w:rsidRPr="004416ED" w:rsidRDefault="00C937FB" w:rsidP="00FC1B6B">
            <w:pPr>
              <w:spacing w:after="0" w:line="240" w:lineRule="auto"/>
              <w:jc w:val="center"/>
              <w:rPr>
                <w:rFonts w:cs="Calibri"/>
                <w:bCs/>
                <w:color w:val="000000"/>
              </w:rPr>
            </w:pPr>
            <w:r>
              <w:rPr>
                <w:rFonts w:cs="Calibri"/>
                <w:bCs/>
                <w:color w:val="000000"/>
              </w:rPr>
              <w:t>77.559</w:t>
            </w:r>
          </w:p>
        </w:tc>
      </w:tr>
      <w:tr w:rsidR="00C937FB" w:rsidRPr="008A32EA"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Haziran 12</w:t>
            </w:r>
            <w:r w:rsidRPr="005E0FA6">
              <w:rPr>
                <w:rFonts w:cs="Calibri"/>
                <w:b/>
                <w:bCs/>
                <w:color w:val="000000"/>
              </w:rPr>
              <w:t xml:space="preserve"> (Artış, %)</w:t>
            </w:r>
            <w:r>
              <w:rPr>
                <w:rFonts w:cs="Calibri"/>
                <w:b/>
                <w:bCs/>
                <w:color w:val="000000"/>
              </w:rPr>
              <w:t>*</w:t>
            </w:r>
          </w:p>
        </w:tc>
        <w:tc>
          <w:tcPr>
            <w:tcW w:w="1220" w:type="dxa"/>
            <w:shd w:val="clear" w:color="auto" w:fill="D3DFEE"/>
            <w:vAlign w:val="center"/>
          </w:tcPr>
          <w:p w:rsidR="00C937FB" w:rsidRPr="008A32EA" w:rsidRDefault="00C937FB" w:rsidP="00FC1B6B">
            <w:pPr>
              <w:spacing w:after="0" w:line="240" w:lineRule="auto"/>
              <w:jc w:val="center"/>
              <w:rPr>
                <w:rFonts w:cs="Calibri"/>
                <w:bCs/>
                <w:color w:val="000000"/>
              </w:rPr>
            </w:pPr>
            <w:r>
              <w:rPr>
                <w:rFonts w:cs="Calibri"/>
                <w:bCs/>
                <w:color w:val="000000"/>
              </w:rPr>
              <w:t>1,1</w:t>
            </w:r>
          </w:p>
        </w:tc>
        <w:tc>
          <w:tcPr>
            <w:tcW w:w="1220" w:type="dxa"/>
            <w:shd w:val="clear" w:color="auto" w:fill="D3DFEE"/>
            <w:noWrap/>
            <w:vAlign w:val="center"/>
          </w:tcPr>
          <w:p w:rsidR="00C937FB" w:rsidRPr="008A32EA" w:rsidRDefault="00C937FB" w:rsidP="00FC1B6B">
            <w:pPr>
              <w:spacing w:after="0" w:line="240" w:lineRule="auto"/>
              <w:jc w:val="center"/>
              <w:rPr>
                <w:rFonts w:cs="Calibri"/>
                <w:bCs/>
                <w:color w:val="000000"/>
              </w:rPr>
            </w:pPr>
            <w:r>
              <w:rPr>
                <w:rFonts w:cs="Calibri"/>
                <w:bCs/>
                <w:color w:val="000000"/>
              </w:rPr>
              <w:t>0,6</w:t>
            </w:r>
          </w:p>
        </w:tc>
      </w:tr>
    </w:tbl>
    <w:p w:rsidR="00C937FB" w:rsidRDefault="00C937FB" w:rsidP="00C937FB">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jc w:val="both"/>
        <w:rPr>
          <w:sz w:val="24"/>
          <w:szCs w:val="24"/>
        </w:rPr>
      </w:pPr>
    </w:p>
    <w:p w:rsidR="00055B1C" w:rsidRDefault="00055B1C" w:rsidP="00C937FB">
      <w:pPr>
        <w:jc w:val="both"/>
        <w:rPr>
          <w:sz w:val="24"/>
          <w:szCs w:val="24"/>
        </w:rPr>
      </w:pPr>
    </w:p>
    <w:p w:rsidR="00C937FB" w:rsidRDefault="00C937FB" w:rsidP="00055B1C">
      <w:pPr>
        <w:jc w:val="both"/>
        <w:rPr>
          <w:sz w:val="24"/>
          <w:szCs w:val="24"/>
        </w:rPr>
      </w:pPr>
      <w:r>
        <w:rPr>
          <w:sz w:val="24"/>
          <w:szCs w:val="24"/>
        </w:rPr>
        <w:lastRenderedPageBreak/>
        <w:t xml:space="preserve">Konya, Temmuz ayı verilerine göre sigortalı ücretli çalışan sayısı en fazla olan iller arasında 7. sıradadır. Konya, 3 büyük şehrin yanı sıra Bursa, Antalya ve Kocaeli’nin arkasında yer almaktadır. Konya’yı Adana, Gaziantep ve Tekirdağ takip etmektedir. Son 1 yıldaki sigortalı ücretli artışına en fazla katkı sağlayan iller arasında ise Konya 9. sırada yer almıştır. </w:t>
      </w:r>
    </w:p>
    <w:p w:rsidR="00C937FB" w:rsidRDefault="00C937FB" w:rsidP="00055B1C">
      <w:pPr>
        <w:jc w:val="both"/>
        <w:rPr>
          <w:sz w:val="24"/>
          <w:szCs w:val="24"/>
        </w:rPr>
      </w:pPr>
      <w:r>
        <w:rPr>
          <w:sz w:val="24"/>
          <w:szCs w:val="24"/>
        </w:rPr>
        <w:t xml:space="preserve">Temmuz 2011’den Temmuz 2012’ye sigortalı ücretli çalışan sayısı değişiminde Konya, yüzde 11,8’lik artış ile 81 il arasında 18. sırada, istihdamın en fazla olduğu ilk 15 il arasında ise Konya, Gaziantep’in ardından 2. sırada gelmektedir. </w:t>
      </w:r>
    </w:p>
    <w:p w:rsidR="00C937FB" w:rsidRPr="00F06F92" w:rsidRDefault="00C937FB" w:rsidP="00C937FB">
      <w:pPr>
        <w:jc w:val="both"/>
        <w:rPr>
          <w:sz w:val="24"/>
          <w:szCs w:val="24"/>
        </w:rPr>
      </w:pPr>
      <w:r>
        <w:rPr>
          <w:sz w:val="24"/>
          <w:szCs w:val="24"/>
        </w:rPr>
        <w:t xml:space="preserve">Türkiye ve Konya’daki sigortalı ücretli (4/a) çalışan sayısı Ekim 2008’de 100 kabul edildiğinde, söz konusu değer, Temmuz 2012’de, Türkiye için 133,5 olurken Konya içinse 146,3 olmuştur. Ekim 2008’den bu yana Konya’daki sigortalı ücretli sayısındaki artış oranı Türkiye genelinin üzerinde olmuştur. </w:t>
      </w:r>
    </w:p>
    <w:p w:rsidR="00C937FB" w:rsidRDefault="00C937FB" w:rsidP="00C937FB">
      <w:pPr>
        <w:pStyle w:val="Balk2"/>
        <w:rPr>
          <w:rFonts w:asciiTheme="minorHAnsi" w:hAnsiTheme="minorHAnsi"/>
          <w:sz w:val="24"/>
        </w:rPr>
      </w:pPr>
      <w:bookmarkStart w:id="1" w:name="_Toc315794364"/>
      <w:r w:rsidRPr="00A6496C">
        <w:rPr>
          <w:rFonts w:asciiTheme="minorHAnsi" w:hAnsiTheme="minorHAnsi"/>
          <w:sz w:val="24"/>
        </w:rPr>
        <w:t xml:space="preserve">Şekil </w:t>
      </w:r>
      <w:r>
        <w:rPr>
          <w:rFonts w:asciiTheme="minorHAnsi" w:hAnsiTheme="minorHAnsi"/>
          <w:sz w:val="24"/>
        </w:rPr>
        <w:t>1</w:t>
      </w:r>
      <w:r w:rsidRPr="00A6496C">
        <w:rPr>
          <w:rFonts w:asciiTheme="minorHAnsi" w:hAnsiTheme="minorHAnsi"/>
          <w:sz w:val="24"/>
        </w:rPr>
        <w:t xml:space="preserve">. Aylara Göre Sigortalı </w:t>
      </w:r>
      <w:r>
        <w:rPr>
          <w:rFonts w:asciiTheme="minorHAnsi" w:hAnsiTheme="minorHAnsi"/>
          <w:sz w:val="24"/>
        </w:rPr>
        <w:t xml:space="preserve">Ücretli (4/a) </w:t>
      </w:r>
      <w:r w:rsidRPr="00A6496C">
        <w:rPr>
          <w:rFonts w:asciiTheme="minorHAnsi" w:hAnsiTheme="minorHAnsi"/>
          <w:sz w:val="24"/>
        </w:rPr>
        <w:t>Çalışan Sayısı (</w:t>
      </w:r>
      <w:r>
        <w:rPr>
          <w:rFonts w:asciiTheme="minorHAnsi" w:hAnsiTheme="minorHAnsi"/>
          <w:sz w:val="24"/>
        </w:rPr>
        <w:t>Ekim</w:t>
      </w:r>
      <w:r w:rsidRPr="00A6496C">
        <w:rPr>
          <w:rFonts w:asciiTheme="minorHAnsi" w:hAnsiTheme="minorHAnsi"/>
          <w:sz w:val="24"/>
        </w:rPr>
        <w:t xml:space="preserve"> 2008=100 olarak endekslenmiştir)</w:t>
      </w:r>
      <w:bookmarkEnd w:id="1"/>
      <w:r>
        <w:rPr>
          <w:rFonts w:asciiTheme="minorHAnsi" w:hAnsiTheme="minorHAnsi"/>
          <w:sz w:val="24"/>
        </w:rPr>
        <w:t xml:space="preserve"> (Mevsimsellikten arındırılmış seriler)</w:t>
      </w:r>
    </w:p>
    <w:p w:rsidR="00C937FB" w:rsidRPr="004416ED" w:rsidRDefault="00C937FB" w:rsidP="00C937FB">
      <w:pPr>
        <w:spacing w:after="0"/>
      </w:pPr>
      <w:r>
        <w:rPr>
          <w:noProof/>
          <w:lang w:eastAsia="tr-TR"/>
        </w:rPr>
        <w:drawing>
          <wp:inline distT="0" distB="0" distL="0" distR="0" wp14:anchorId="05B0D20B" wp14:editId="6B76AF75">
            <wp:extent cx="5760720" cy="2777468"/>
            <wp:effectExtent l="19050" t="0" r="11430" b="3832"/>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37FB" w:rsidRPr="007A7AFD" w:rsidRDefault="00C937FB" w:rsidP="00C937FB">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pStyle w:val="Balk1"/>
        <w:spacing w:before="0"/>
        <w:rPr>
          <w:rFonts w:asciiTheme="minorHAnsi" w:hAnsiTheme="minorHAnsi"/>
        </w:rPr>
      </w:pPr>
    </w:p>
    <w:p w:rsidR="00C937FB" w:rsidRDefault="00C937FB" w:rsidP="00C937FB"/>
    <w:p w:rsidR="00C937FB" w:rsidRPr="0077572B" w:rsidRDefault="00C937FB" w:rsidP="00C937FB"/>
    <w:p w:rsidR="00C937FB" w:rsidRDefault="00C937FB" w:rsidP="00C937FB">
      <w:pPr>
        <w:pStyle w:val="Balk1"/>
        <w:spacing w:before="0" w:after="240"/>
        <w:rPr>
          <w:rFonts w:asciiTheme="minorHAnsi" w:hAnsiTheme="minorHAnsi"/>
        </w:rPr>
      </w:pPr>
      <w:r>
        <w:rPr>
          <w:rFonts w:asciiTheme="minorHAnsi" w:hAnsiTheme="minorHAnsi"/>
        </w:rPr>
        <w:lastRenderedPageBreak/>
        <w:t>En fazla işyerine sahip 15 il arasında Konya işy</w:t>
      </w:r>
      <w:r w:rsidR="00055B1C">
        <w:rPr>
          <w:rFonts w:asciiTheme="minorHAnsi" w:hAnsiTheme="minorHAnsi"/>
        </w:rPr>
        <w:t>eri sayısı en fazla artan 4. il</w:t>
      </w:r>
    </w:p>
    <w:p w:rsidR="00C937FB" w:rsidRDefault="00C937FB" w:rsidP="00C937FB">
      <w:pPr>
        <w:jc w:val="both"/>
        <w:rPr>
          <w:sz w:val="24"/>
          <w:szCs w:val="24"/>
        </w:rPr>
      </w:pPr>
      <w:r>
        <w:rPr>
          <w:sz w:val="24"/>
          <w:szCs w:val="24"/>
        </w:rPr>
        <w:t>Temmuz 2012’de işyeri sayısı Türkiye genelinde yaklaşık 1 milyon 504 bin olurken Konya’da ise 37 bine yaklaşmıştır. Temmuz 2011’den Temmuz 2012’ye işyeri sayısı Türkiye’de 112 bin (yüzde 8) artarken Konya’da 3 bin 68 (yüzde 9,1) artmıştır.</w:t>
      </w:r>
      <w:r w:rsidRPr="00C67A0B">
        <w:rPr>
          <w:sz w:val="24"/>
          <w:szCs w:val="24"/>
        </w:rPr>
        <w:t xml:space="preserve"> </w:t>
      </w:r>
      <w:r>
        <w:rPr>
          <w:sz w:val="24"/>
          <w:szCs w:val="24"/>
        </w:rPr>
        <w:t>Temmuz 2009’dan Temmuz 2012’ye Türkiye’deki işyeri sayısı yüzde 27,5 artarken Konya’da artış oranı ise yüzde 34,9 olmuştur.</w:t>
      </w:r>
    </w:p>
    <w:p w:rsidR="00C937FB" w:rsidRDefault="00C937FB" w:rsidP="00C937FB">
      <w:pPr>
        <w:jc w:val="both"/>
        <w:rPr>
          <w:sz w:val="24"/>
          <w:szCs w:val="24"/>
        </w:rPr>
      </w:pPr>
      <w:r>
        <w:rPr>
          <w:sz w:val="24"/>
          <w:szCs w:val="24"/>
        </w:rPr>
        <w:t xml:space="preserve">Mevsimsellikten arındırılmış serilerde ise son 1 ayda Konya’da ve Türkiye’de işyeri sayısı yüzde 0,7 artmıştır. </w:t>
      </w:r>
    </w:p>
    <w:p w:rsidR="00C937FB" w:rsidRPr="00F5336E" w:rsidRDefault="00C937FB" w:rsidP="00C937FB">
      <w:pPr>
        <w:pStyle w:val="Balk2"/>
        <w:rPr>
          <w:rFonts w:asciiTheme="minorHAnsi" w:hAnsiTheme="minorHAnsi"/>
          <w:sz w:val="24"/>
        </w:rPr>
      </w:pPr>
      <w:r w:rsidRPr="00F5336E">
        <w:rPr>
          <w:rFonts w:asciiTheme="minorHAnsi" w:hAnsiTheme="minorHAnsi"/>
          <w:sz w:val="24"/>
        </w:rPr>
        <w:t xml:space="preserve">Tablo </w:t>
      </w:r>
      <w:r>
        <w:rPr>
          <w:rFonts w:asciiTheme="minorHAnsi" w:hAnsiTheme="minorHAnsi"/>
          <w:sz w:val="24"/>
        </w:rPr>
        <w:t>2</w:t>
      </w:r>
      <w:r w:rsidRPr="00F5336E">
        <w:rPr>
          <w:rFonts w:asciiTheme="minorHAnsi" w:hAnsiTheme="minorHAnsi"/>
          <w:sz w:val="24"/>
        </w:rPr>
        <w:t xml:space="preserve">. </w:t>
      </w:r>
      <w:r>
        <w:rPr>
          <w:rFonts w:asciiTheme="minorHAnsi" w:hAnsiTheme="minorHAnsi"/>
          <w:sz w:val="24"/>
        </w:rPr>
        <w:t>İşyeri</w:t>
      </w:r>
      <w:r w:rsidRPr="00F5336E">
        <w:rPr>
          <w:rFonts w:asciiTheme="minorHAnsi" w:hAnsiTheme="minorHAnsi"/>
          <w:sz w:val="24"/>
        </w:rPr>
        <w:t xml:space="preserve"> Sayısı</w:t>
      </w:r>
      <w:r>
        <w:rPr>
          <w:rFonts w:asciiTheme="minorHAnsi" w:hAnsiTheme="minorHAnsi"/>
          <w:sz w:val="24"/>
        </w:rPr>
        <w:t xml:space="preserve"> (4/a)</w:t>
      </w:r>
      <w:r w:rsidRPr="00F5336E">
        <w:rPr>
          <w:rFonts w:asciiTheme="minorHAnsi" w:hAnsiTheme="minorHAnsi"/>
          <w:sz w:val="24"/>
        </w:rPr>
        <w:t xml:space="preserve"> (</w:t>
      </w:r>
      <w:r>
        <w:rPr>
          <w:rFonts w:asciiTheme="minorHAnsi" w:hAnsiTheme="minorHAnsi"/>
          <w:sz w:val="24"/>
        </w:rPr>
        <w:t>Temmuz, 2009-2012; Haziran-Temmuz 2012</w:t>
      </w:r>
      <w:r w:rsidRPr="00F5336E">
        <w:rPr>
          <w:rFonts w:asciiTheme="minorHAnsi" w:hAnsiTheme="minorHAnsi"/>
          <w:sz w:val="24"/>
        </w:rPr>
        <w:t>)</w:t>
      </w:r>
    </w:p>
    <w:tbl>
      <w:tblPr>
        <w:tblW w:w="5948" w:type="dxa"/>
        <w:jc w:val="center"/>
        <w:tblInd w:w="-4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508"/>
        <w:gridCol w:w="1220"/>
        <w:gridCol w:w="1220"/>
      </w:tblGrid>
      <w:tr w:rsidR="00C937FB" w:rsidRPr="005E0FA6" w:rsidTr="00FC1B6B">
        <w:trPr>
          <w:trHeight w:val="713"/>
          <w:jc w:val="center"/>
        </w:trPr>
        <w:tc>
          <w:tcPr>
            <w:tcW w:w="3508" w:type="dxa"/>
            <w:tcBorders>
              <w:top w:val="single" w:sz="8" w:space="0" w:color="FFFFFF"/>
              <w:bottom w:val="single" w:sz="24" w:space="0" w:color="FFFFFF"/>
              <w:right w:val="single" w:sz="8" w:space="0" w:color="FFFFFF"/>
            </w:tcBorders>
            <w:shd w:val="clear" w:color="auto" w:fill="4F81BD"/>
            <w:noWrap/>
          </w:tcPr>
          <w:p w:rsidR="00C937FB" w:rsidRPr="005E0FA6" w:rsidRDefault="00C937FB" w:rsidP="00FC1B6B">
            <w:pPr>
              <w:spacing w:after="0" w:line="240" w:lineRule="auto"/>
              <w:ind w:left="-690"/>
              <w:rPr>
                <w:rFonts w:cs="Calibri"/>
                <w:b/>
                <w:bCs/>
                <w:color w:val="000000"/>
                <w:sz w:val="20"/>
              </w:rPr>
            </w:pPr>
          </w:p>
        </w:tc>
        <w:tc>
          <w:tcPr>
            <w:tcW w:w="1220" w:type="dxa"/>
            <w:tcBorders>
              <w:top w:val="single" w:sz="8" w:space="0" w:color="FFFFFF"/>
              <w:bottom w:val="single" w:sz="24" w:space="0" w:color="FFFFFF"/>
            </w:tcBorders>
            <w:shd w:val="clear" w:color="auto" w:fill="4F81BD"/>
            <w:vAlign w:val="center"/>
          </w:tcPr>
          <w:p w:rsidR="00C937FB" w:rsidRDefault="00C937FB" w:rsidP="00FC1B6B">
            <w:pPr>
              <w:spacing w:after="0" w:line="240" w:lineRule="auto"/>
              <w:jc w:val="center"/>
              <w:rPr>
                <w:rFonts w:cs="Calibri"/>
                <w:b/>
                <w:bCs/>
                <w:color w:val="000000"/>
              </w:rPr>
            </w:pPr>
            <w:r>
              <w:rPr>
                <w:rFonts w:cs="Calibri"/>
                <w:b/>
                <w:bCs/>
                <w:color w:val="000000"/>
              </w:rPr>
              <w:t xml:space="preserve">Konya </w:t>
            </w:r>
          </w:p>
          <w:p w:rsidR="00C937FB" w:rsidRPr="005E0FA6" w:rsidRDefault="00C937FB" w:rsidP="00FC1B6B">
            <w:pPr>
              <w:spacing w:after="0" w:line="240" w:lineRule="auto"/>
              <w:jc w:val="center"/>
              <w:rPr>
                <w:rFonts w:cs="Calibri"/>
                <w:b/>
                <w:bCs/>
                <w:color w:val="000000"/>
              </w:rPr>
            </w:pPr>
            <w:r>
              <w:rPr>
                <w:rFonts w:cs="Calibri"/>
                <w:b/>
                <w:bCs/>
                <w:color w:val="000000"/>
              </w:rPr>
              <w:t>(4/a)</w:t>
            </w:r>
          </w:p>
        </w:tc>
        <w:tc>
          <w:tcPr>
            <w:tcW w:w="1220" w:type="dxa"/>
            <w:tcBorders>
              <w:top w:val="single" w:sz="8" w:space="0" w:color="FFFFFF"/>
              <w:left w:val="single" w:sz="8" w:space="0" w:color="FFFFFF"/>
              <w:bottom w:val="single" w:sz="24" w:space="0" w:color="FFFFFF"/>
              <w:right w:val="single" w:sz="8" w:space="0" w:color="FFFFFF"/>
            </w:tcBorders>
            <w:shd w:val="clear" w:color="auto" w:fill="4F81BD"/>
            <w:noWrap/>
            <w:vAlign w:val="center"/>
          </w:tcPr>
          <w:p w:rsidR="00C937FB" w:rsidRDefault="00C937FB" w:rsidP="00FC1B6B">
            <w:pPr>
              <w:spacing w:after="0" w:line="240" w:lineRule="auto"/>
              <w:jc w:val="center"/>
              <w:rPr>
                <w:rFonts w:cs="Calibri"/>
                <w:b/>
                <w:bCs/>
                <w:color w:val="000000"/>
              </w:rPr>
            </w:pPr>
            <w:r>
              <w:rPr>
                <w:rFonts w:cs="Calibri"/>
                <w:b/>
                <w:bCs/>
                <w:color w:val="000000"/>
              </w:rPr>
              <w:t>Türkiye</w:t>
            </w:r>
          </w:p>
          <w:p w:rsidR="00C937FB" w:rsidRPr="005E0FA6" w:rsidRDefault="00C937FB" w:rsidP="00FC1B6B">
            <w:pPr>
              <w:spacing w:after="0" w:line="240" w:lineRule="auto"/>
              <w:jc w:val="center"/>
              <w:rPr>
                <w:rFonts w:cs="Calibri"/>
                <w:b/>
                <w:bCs/>
                <w:color w:val="000000"/>
              </w:rPr>
            </w:pPr>
            <w:r>
              <w:rPr>
                <w:rFonts w:cs="Calibri"/>
                <w:b/>
                <w:bCs/>
                <w:color w:val="000000"/>
              </w:rPr>
              <w:t xml:space="preserve">(4/a)  </w:t>
            </w:r>
          </w:p>
        </w:tc>
      </w:tr>
      <w:tr w:rsidR="00C937FB" w:rsidRPr="005E0FA6" w:rsidTr="00FC1B6B">
        <w:trPr>
          <w:trHeight w:val="268"/>
          <w:jc w:val="center"/>
        </w:trPr>
        <w:tc>
          <w:tcPr>
            <w:tcW w:w="350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 xml:space="preserve">Temmuz </w:t>
            </w:r>
            <w:r w:rsidRPr="005E0FA6">
              <w:rPr>
                <w:rFonts w:cs="Calibri"/>
                <w:b/>
                <w:bCs/>
                <w:color w:val="000000"/>
              </w:rPr>
              <w:t>200</w:t>
            </w:r>
            <w:r>
              <w:rPr>
                <w:rFonts w:cs="Calibri"/>
                <w:b/>
                <w:bCs/>
                <w:color w:val="000000"/>
              </w:rPr>
              <w:t>9</w:t>
            </w:r>
          </w:p>
        </w:tc>
        <w:tc>
          <w:tcPr>
            <w:tcW w:w="1220" w:type="dxa"/>
            <w:tcBorders>
              <w:top w:val="single" w:sz="8" w:space="0" w:color="FFFFFF"/>
              <w:bottom w:val="single" w:sz="8" w:space="0" w:color="FFFFFF"/>
            </w:tcBorders>
            <w:shd w:val="clear" w:color="auto" w:fill="A7BFDE"/>
            <w:vAlign w:val="center"/>
          </w:tcPr>
          <w:p w:rsidR="00C937FB" w:rsidRPr="0020074C" w:rsidRDefault="00C937FB" w:rsidP="00FC1B6B">
            <w:pPr>
              <w:spacing w:after="0" w:line="240" w:lineRule="auto"/>
              <w:jc w:val="center"/>
              <w:rPr>
                <w:rFonts w:cs="Calibri"/>
                <w:bCs/>
                <w:color w:val="000000"/>
              </w:rPr>
            </w:pPr>
            <w:r>
              <w:rPr>
                <w:rFonts w:cs="Calibri"/>
                <w:bCs/>
                <w:color w:val="000000"/>
              </w:rPr>
              <w:t>27.262</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1.179.550</w:t>
            </w:r>
          </w:p>
        </w:tc>
      </w:tr>
      <w:tr w:rsidR="00C937FB" w:rsidRPr="005E0FA6" w:rsidTr="00FC1B6B">
        <w:trPr>
          <w:trHeight w:val="268"/>
          <w:jc w:val="center"/>
        </w:trPr>
        <w:tc>
          <w:tcPr>
            <w:tcW w:w="3508" w:type="dxa"/>
            <w:tcBorders>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w:t>
            </w:r>
            <w:r>
              <w:rPr>
                <w:rFonts w:cs="Calibri"/>
                <w:b/>
                <w:bCs/>
                <w:color w:val="000000"/>
              </w:rPr>
              <w:t>10</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30.142</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1.267.469</w:t>
            </w:r>
          </w:p>
        </w:tc>
      </w:tr>
      <w:tr w:rsidR="00C937FB" w:rsidRPr="005E0FA6" w:rsidTr="00FC1B6B">
        <w:trPr>
          <w:trHeight w:val="268"/>
          <w:jc w:val="center"/>
        </w:trPr>
        <w:tc>
          <w:tcPr>
            <w:tcW w:w="350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1</w:t>
            </w:r>
          </w:p>
        </w:tc>
        <w:tc>
          <w:tcPr>
            <w:tcW w:w="1220" w:type="dxa"/>
            <w:tcBorders>
              <w:top w:val="single" w:sz="8" w:space="0" w:color="FFFFFF"/>
              <w:bottom w:val="single" w:sz="8" w:space="0" w:color="FFFFFF"/>
            </w:tcBorders>
            <w:shd w:val="clear" w:color="auto" w:fill="A7BFDE"/>
            <w:vAlign w:val="center"/>
          </w:tcPr>
          <w:p w:rsidR="00C937FB" w:rsidRPr="0020074C" w:rsidRDefault="00C937FB" w:rsidP="00FC1B6B">
            <w:pPr>
              <w:spacing w:after="0" w:line="240" w:lineRule="auto"/>
              <w:jc w:val="center"/>
              <w:rPr>
                <w:rFonts w:cs="Calibri"/>
                <w:bCs/>
                <w:color w:val="000000"/>
              </w:rPr>
            </w:pPr>
            <w:r>
              <w:rPr>
                <w:rFonts w:cs="Calibri"/>
                <w:bCs/>
                <w:color w:val="000000"/>
              </w:rPr>
              <w:t>33.731</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1.392.396</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2</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36.799</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1.504.481</w:t>
            </w:r>
          </w:p>
        </w:tc>
      </w:tr>
      <w:tr w:rsidR="00C937FB" w:rsidRPr="005E0FA6" w:rsidTr="00FC1B6B">
        <w:trPr>
          <w:trHeight w:val="268"/>
          <w:jc w:val="center"/>
        </w:trPr>
        <w:tc>
          <w:tcPr>
            <w:tcW w:w="5948" w:type="dxa"/>
            <w:gridSpan w:val="3"/>
            <w:shd w:val="clear" w:color="auto" w:fill="4F81BD"/>
            <w:noWrap/>
            <w:vAlign w:val="center"/>
          </w:tcPr>
          <w:p w:rsidR="00C937FB" w:rsidRPr="00A739DC"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11</w:t>
            </w:r>
            <w:r w:rsidRPr="005E0FA6">
              <w:rPr>
                <w:rFonts w:cs="Calibri"/>
                <w:b/>
                <w:bCs/>
                <w:color w:val="000000"/>
              </w:rPr>
              <w:t xml:space="preserve"> (Fark)</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3.068</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112.085</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Temmuz 11</w:t>
            </w:r>
            <w:r w:rsidRPr="005E0FA6">
              <w:rPr>
                <w:rFonts w:cs="Calibri"/>
                <w:b/>
                <w:bCs/>
                <w:color w:val="000000"/>
              </w:rPr>
              <w:t xml:space="preserve"> (Artış, %)</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9,1</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8,0</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11 - Temmuz 10</w:t>
            </w:r>
            <w:r w:rsidRPr="005E0FA6">
              <w:rPr>
                <w:rFonts w:cs="Calibri"/>
                <w:b/>
                <w:bCs/>
                <w:color w:val="000000"/>
              </w:rPr>
              <w:t xml:space="preserve"> (Artış, %)</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11,9</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9,8</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10 - Temmuz 09</w:t>
            </w:r>
            <w:r w:rsidRPr="005E0FA6">
              <w:rPr>
                <w:rFonts w:cs="Calibri"/>
                <w:b/>
                <w:bCs/>
                <w:color w:val="000000"/>
              </w:rPr>
              <w:t xml:space="preserve"> (Artış, %)</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10,6</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7,4</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09</w:t>
            </w:r>
            <w:r w:rsidRPr="005E0FA6">
              <w:rPr>
                <w:rFonts w:cs="Calibri"/>
                <w:b/>
                <w:bCs/>
                <w:color w:val="000000"/>
              </w:rPr>
              <w:t xml:space="preserve"> (Artış, %)</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34,9</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27,5</w:t>
            </w:r>
          </w:p>
        </w:tc>
      </w:tr>
      <w:tr w:rsidR="00C937FB" w:rsidRPr="005E0FA6" w:rsidTr="00FC1B6B">
        <w:trPr>
          <w:trHeight w:val="268"/>
          <w:jc w:val="center"/>
        </w:trPr>
        <w:tc>
          <w:tcPr>
            <w:tcW w:w="5948" w:type="dxa"/>
            <w:gridSpan w:val="3"/>
            <w:shd w:val="clear" w:color="auto" w:fill="4F81BD"/>
            <w:noWrap/>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Haziran 2012*</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36.469</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1.496.664</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Temmuz 2012*</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36.724</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1.507.187</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Haziran 12</w:t>
            </w:r>
            <w:r w:rsidRPr="005E0FA6">
              <w:rPr>
                <w:rFonts w:cs="Calibri"/>
                <w:b/>
                <w:bCs/>
                <w:color w:val="000000"/>
              </w:rPr>
              <w:t xml:space="preserve"> (Fark)</w:t>
            </w:r>
            <w:r>
              <w:rPr>
                <w:rFonts w:cs="Calibri"/>
                <w:b/>
                <w:bCs/>
                <w:color w:val="000000"/>
              </w:rPr>
              <w:t>*</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255</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10.523</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Haziran 12</w:t>
            </w:r>
            <w:r w:rsidRPr="005E0FA6">
              <w:rPr>
                <w:rFonts w:cs="Calibri"/>
                <w:b/>
                <w:bCs/>
                <w:color w:val="000000"/>
              </w:rPr>
              <w:t xml:space="preserve"> (Artış, %)</w:t>
            </w:r>
            <w:r>
              <w:rPr>
                <w:rFonts w:cs="Calibri"/>
                <w:b/>
                <w:bCs/>
                <w:color w:val="000000"/>
              </w:rPr>
              <w:t>*</w:t>
            </w:r>
          </w:p>
        </w:tc>
        <w:tc>
          <w:tcPr>
            <w:tcW w:w="1220" w:type="dxa"/>
            <w:shd w:val="clear" w:color="auto" w:fill="D3DFEE"/>
            <w:vAlign w:val="center"/>
          </w:tcPr>
          <w:p w:rsidR="00C937FB" w:rsidRPr="0020074C" w:rsidRDefault="00C937FB" w:rsidP="00FC1B6B">
            <w:pPr>
              <w:spacing w:after="0" w:line="240" w:lineRule="auto"/>
              <w:jc w:val="center"/>
              <w:rPr>
                <w:rFonts w:cs="Calibri"/>
                <w:bCs/>
                <w:color w:val="000000"/>
              </w:rPr>
            </w:pPr>
            <w:r>
              <w:rPr>
                <w:rFonts w:cs="Calibri"/>
                <w:bCs/>
                <w:color w:val="000000"/>
              </w:rPr>
              <w:t>0,7</w:t>
            </w:r>
          </w:p>
        </w:tc>
        <w:tc>
          <w:tcPr>
            <w:tcW w:w="1220" w:type="dxa"/>
            <w:shd w:val="clear" w:color="auto" w:fill="D3DFEE"/>
            <w:noWrap/>
            <w:vAlign w:val="center"/>
          </w:tcPr>
          <w:p w:rsidR="00C937FB" w:rsidRPr="0020074C" w:rsidRDefault="00C937FB" w:rsidP="00FC1B6B">
            <w:pPr>
              <w:spacing w:after="0" w:line="240" w:lineRule="auto"/>
              <w:jc w:val="center"/>
              <w:rPr>
                <w:rFonts w:cs="Calibri"/>
                <w:bCs/>
                <w:color w:val="000000"/>
              </w:rPr>
            </w:pPr>
            <w:r>
              <w:rPr>
                <w:rFonts w:cs="Calibri"/>
                <w:bCs/>
                <w:color w:val="000000"/>
              </w:rPr>
              <w:t>0,7</w:t>
            </w:r>
          </w:p>
        </w:tc>
      </w:tr>
    </w:tbl>
    <w:p w:rsidR="00C937FB" w:rsidRPr="005E0FA6" w:rsidRDefault="00C937FB" w:rsidP="00C937FB">
      <w:pPr>
        <w:jc w:val="center"/>
        <w:rPr>
          <w:b/>
          <w:sz w:val="16"/>
          <w:szCs w:val="16"/>
        </w:rPr>
      </w:pPr>
      <w:r w:rsidRPr="00B41203">
        <w:rPr>
          <w:b/>
          <w:sz w:val="10"/>
          <w:szCs w:val="16"/>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spacing w:after="0"/>
        <w:jc w:val="both"/>
        <w:rPr>
          <w:sz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r>
        <w:rPr>
          <w:sz w:val="24"/>
          <w:szCs w:val="24"/>
        </w:rPr>
        <w:lastRenderedPageBreak/>
        <w:t>Konya, işyeri sayısı en fazla olan iller arasında İstanbul, Ankara, İzmir, Bursa ve Antalya’nın ardından 6. sırada yer almıştır. Konya’yı, Kocaeli, Adana ve Muğla takip etmektedir. Konya, son 1 yıldaki işyeri sayısı artışına katkıda bulunan iller arasında, üstteki illerin yanı sıra Adana’nın gerisinde kalarak 7. sırada yer almıştır.</w:t>
      </w:r>
    </w:p>
    <w:p w:rsidR="00C937FB" w:rsidRDefault="00C937FB" w:rsidP="00C937FB">
      <w:pPr>
        <w:jc w:val="both"/>
        <w:rPr>
          <w:sz w:val="24"/>
          <w:szCs w:val="24"/>
        </w:rPr>
      </w:pPr>
      <w:r>
        <w:rPr>
          <w:sz w:val="24"/>
          <w:szCs w:val="24"/>
        </w:rPr>
        <w:t>Temmuz 2011’den Temmuz 2012’ye işyeri sayısı değişiminde Konya, yüzde 9,1’lik artış ile 81 il arasında 18. sırada, işyeri sayısının en fazla olduğu ilk 15 il arasında ise Adana, Gaziantep ve Antalya’dan sonra 4. sırada gelmektedir. Konya’yı, İstanbul, Mersin ve Bursa takip etmektedir.</w:t>
      </w:r>
    </w:p>
    <w:p w:rsidR="00C937FB" w:rsidRDefault="00C937FB" w:rsidP="00C937FB">
      <w:pPr>
        <w:jc w:val="both"/>
        <w:rPr>
          <w:sz w:val="24"/>
        </w:rPr>
      </w:pPr>
      <w:r>
        <w:rPr>
          <w:sz w:val="24"/>
          <w:szCs w:val="24"/>
        </w:rPr>
        <w:t xml:space="preserve">İşyeri sayısı Ekim 2008’de 100 kabul edildiğinde, söz konusu değer Temmuz 2012’de 140,2 olmuştur. Aynı dönemde Türkiye genelindeki işyeri sayısı 100’den 130,2’ye yükselmiştir. </w:t>
      </w:r>
    </w:p>
    <w:p w:rsidR="00C937FB" w:rsidRDefault="00C937FB" w:rsidP="00C937FB">
      <w:pPr>
        <w:pStyle w:val="Balk2"/>
        <w:spacing w:before="0"/>
        <w:rPr>
          <w:rFonts w:asciiTheme="minorHAnsi" w:hAnsiTheme="minorHAnsi"/>
          <w:sz w:val="24"/>
        </w:rPr>
      </w:pPr>
      <w:bookmarkStart w:id="2" w:name="_Toc315794379"/>
      <w:r w:rsidRPr="00B738C7">
        <w:rPr>
          <w:rFonts w:asciiTheme="minorHAnsi" w:hAnsiTheme="minorHAnsi"/>
          <w:sz w:val="24"/>
        </w:rPr>
        <w:t xml:space="preserve">Şekil </w:t>
      </w:r>
      <w:r>
        <w:rPr>
          <w:rFonts w:asciiTheme="minorHAnsi" w:hAnsiTheme="minorHAnsi"/>
          <w:sz w:val="24"/>
        </w:rPr>
        <w:t>2</w:t>
      </w:r>
      <w:r w:rsidRPr="00B738C7">
        <w:rPr>
          <w:rFonts w:asciiTheme="minorHAnsi" w:hAnsiTheme="minorHAnsi"/>
          <w:sz w:val="24"/>
        </w:rPr>
        <w:t>.</w:t>
      </w:r>
      <w:r>
        <w:rPr>
          <w:rFonts w:asciiTheme="minorHAnsi" w:hAnsiTheme="minorHAnsi"/>
          <w:sz w:val="24"/>
        </w:rPr>
        <w:t xml:space="preserve"> Aylara İşyeri Sayıları</w:t>
      </w:r>
      <w:r w:rsidRPr="00A6496C">
        <w:rPr>
          <w:rFonts w:asciiTheme="minorHAnsi" w:hAnsiTheme="minorHAnsi"/>
          <w:sz w:val="24"/>
        </w:rPr>
        <w:t xml:space="preserve"> </w:t>
      </w:r>
      <w:r>
        <w:rPr>
          <w:rFonts w:asciiTheme="minorHAnsi" w:hAnsiTheme="minorHAnsi"/>
          <w:sz w:val="24"/>
        </w:rPr>
        <w:t xml:space="preserve">(4/a) </w:t>
      </w:r>
      <w:r w:rsidRPr="00A6496C">
        <w:rPr>
          <w:rFonts w:asciiTheme="minorHAnsi" w:hAnsiTheme="minorHAnsi"/>
          <w:sz w:val="24"/>
        </w:rPr>
        <w:t>(</w:t>
      </w:r>
      <w:r>
        <w:rPr>
          <w:rFonts w:asciiTheme="minorHAnsi" w:hAnsiTheme="minorHAnsi"/>
          <w:sz w:val="24"/>
        </w:rPr>
        <w:t>Ekim</w:t>
      </w:r>
      <w:r w:rsidRPr="00A6496C">
        <w:rPr>
          <w:rFonts w:asciiTheme="minorHAnsi" w:hAnsiTheme="minorHAnsi"/>
          <w:sz w:val="24"/>
        </w:rPr>
        <w:t xml:space="preserve"> 2008=100 olarak endekslenmiştir)</w:t>
      </w:r>
      <w:bookmarkEnd w:id="2"/>
      <w:r>
        <w:rPr>
          <w:rFonts w:asciiTheme="minorHAnsi" w:hAnsiTheme="minorHAnsi"/>
          <w:sz w:val="24"/>
        </w:rPr>
        <w:t xml:space="preserve"> (Mevsimsellikten arındırılmış seriler)</w:t>
      </w:r>
    </w:p>
    <w:p w:rsidR="00C937FB" w:rsidRPr="00D84B48" w:rsidRDefault="00C937FB" w:rsidP="00C937FB">
      <w:pPr>
        <w:spacing w:after="0"/>
      </w:pPr>
      <w:r>
        <w:rPr>
          <w:noProof/>
          <w:lang w:eastAsia="tr-TR"/>
        </w:rPr>
        <w:drawing>
          <wp:inline distT="0" distB="0" distL="0" distR="0" wp14:anchorId="6F6ACBF3" wp14:editId="6F1F244F">
            <wp:extent cx="5762847" cy="2626242"/>
            <wp:effectExtent l="19050" t="0" r="28353" b="2658"/>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937FB" w:rsidRDefault="00C937FB" w:rsidP="00C937FB">
      <w:pPr>
        <w:spacing w:after="0"/>
        <w:jc w:val="right"/>
        <w:rPr>
          <w:sz w:val="24"/>
        </w:rPr>
      </w:pPr>
      <w:r w:rsidRPr="007A7AFD">
        <w:rPr>
          <w:b/>
          <w:sz w:val="18"/>
          <w:szCs w:val="16"/>
        </w:rPr>
        <w:t>Kaynak: Sosyal Güvenlik Kurumu (SGK), KTO</w:t>
      </w:r>
      <w:r>
        <w:rPr>
          <w:b/>
          <w:sz w:val="18"/>
          <w:szCs w:val="16"/>
        </w:rPr>
        <w:t xml:space="preserve"> Hesaplamaları</w:t>
      </w:r>
    </w:p>
    <w:p w:rsidR="00C937FB" w:rsidRDefault="00C937FB" w:rsidP="00C937FB">
      <w:pPr>
        <w:spacing w:after="0"/>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Pr="00E950BC" w:rsidRDefault="00C937FB" w:rsidP="00C937FB">
      <w:pPr>
        <w:pStyle w:val="Balk1"/>
        <w:spacing w:before="0" w:after="240"/>
        <w:rPr>
          <w:rFonts w:asciiTheme="minorHAnsi" w:hAnsiTheme="minorHAnsi"/>
        </w:rPr>
      </w:pPr>
      <w:r>
        <w:rPr>
          <w:rFonts w:asciiTheme="minorHAnsi" w:hAnsiTheme="minorHAnsi"/>
        </w:rPr>
        <w:lastRenderedPageBreak/>
        <w:t>En fazla kadın istihdamı sağlayan 15 il arasında Konya kadın</w:t>
      </w:r>
      <w:r w:rsidR="00055B1C">
        <w:rPr>
          <w:rFonts w:asciiTheme="minorHAnsi" w:hAnsiTheme="minorHAnsi"/>
        </w:rPr>
        <w:t xml:space="preserve"> istihdamı en fazla artan 5. il</w:t>
      </w:r>
    </w:p>
    <w:p w:rsidR="00C937FB" w:rsidRDefault="00C937FB" w:rsidP="00C937FB">
      <w:pPr>
        <w:jc w:val="both"/>
        <w:rPr>
          <w:sz w:val="24"/>
          <w:szCs w:val="24"/>
        </w:rPr>
      </w:pPr>
      <w:r>
        <w:rPr>
          <w:sz w:val="24"/>
          <w:szCs w:val="24"/>
        </w:rPr>
        <w:t>SGK verilerine göre Temmuz 2012’de sigortalı ücretli (4/a) kadın çalışan sayısı Türkiye genelinde 2 milyon 908 bin olurken Konya’da ise 40 bin olmuştur. Temmuz 2011’den Temmuz 2012’ye sigortalı ücretli kadın çalışan sayısı Türkiye’de 263 bin (yüzde 9,9) artarken Konya’da 4 bin 168 kişi (yüzde 11,6) artmıştır.</w:t>
      </w:r>
      <w:r w:rsidRPr="00C67A0B">
        <w:rPr>
          <w:sz w:val="24"/>
          <w:szCs w:val="24"/>
        </w:rPr>
        <w:t xml:space="preserve"> </w:t>
      </w:r>
      <w:r>
        <w:rPr>
          <w:sz w:val="24"/>
          <w:szCs w:val="24"/>
        </w:rPr>
        <w:t>Temmuz 2009’dan Temmuz 2012’ye Türkiye’deki sigortalı ücretli kadın çalışan sayısı yüzde 39,6 artarken Konya’da artış oranı ise yüzde 50,1 olmuştur.</w:t>
      </w:r>
    </w:p>
    <w:p w:rsidR="00C937FB" w:rsidRDefault="00C937FB" w:rsidP="00C937FB">
      <w:pPr>
        <w:jc w:val="both"/>
        <w:rPr>
          <w:sz w:val="24"/>
        </w:rPr>
      </w:pPr>
      <w:r>
        <w:rPr>
          <w:sz w:val="24"/>
          <w:szCs w:val="24"/>
        </w:rPr>
        <w:t>Temmuz 2009’da Konya’daki kadın istihdamının Konya’nın toplam istihdamına oranı yüzde 14,4 iken, Temmuz 2012’de yüzde 15,4 olmuştur. Türkiye genelinde kadın istihdamının toplam istihdama oranı ise yüzde 24 olmuştur. Konya, kadın istihdam oranında Türkiye geneline göre kötü durumdadır. En fazla kadın istihdam edilen iller arasında Konya, 13. sırada yer alırken, illerdeki kadın istihdamının ildeki toplam istihdama oranına göre sıralama yapıldığında Konya 81 il arasında 55. sırada yer almaktadır.</w:t>
      </w:r>
    </w:p>
    <w:p w:rsidR="00C937FB" w:rsidRDefault="00C937FB" w:rsidP="00C937FB">
      <w:pPr>
        <w:jc w:val="both"/>
        <w:rPr>
          <w:sz w:val="24"/>
          <w:szCs w:val="24"/>
        </w:rPr>
      </w:pPr>
      <w:r>
        <w:rPr>
          <w:sz w:val="24"/>
          <w:szCs w:val="24"/>
        </w:rPr>
        <w:t xml:space="preserve">Mevsimsellikten arındırılmış serilerde ise son 1 ayda Konya’da sigortalı ücretli kadın çalışan sayısı yüzde 1,9 artarken Türkiye genelinde de yüzde 0,7 artmıştır. </w:t>
      </w:r>
    </w:p>
    <w:p w:rsidR="00C937FB" w:rsidRPr="00F5336E" w:rsidRDefault="00C937FB" w:rsidP="00C937FB">
      <w:pPr>
        <w:pStyle w:val="Balk2"/>
        <w:rPr>
          <w:rFonts w:asciiTheme="minorHAnsi" w:hAnsiTheme="minorHAnsi"/>
          <w:sz w:val="24"/>
        </w:rPr>
      </w:pPr>
      <w:bookmarkStart w:id="3" w:name="_Toc315794384"/>
      <w:r w:rsidRPr="00F5336E">
        <w:rPr>
          <w:rFonts w:asciiTheme="minorHAnsi" w:hAnsiTheme="minorHAnsi"/>
          <w:sz w:val="24"/>
        </w:rPr>
        <w:t xml:space="preserve">Tablo </w:t>
      </w:r>
      <w:r>
        <w:rPr>
          <w:rFonts w:asciiTheme="minorHAnsi" w:hAnsiTheme="minorHAnsi"/>
          <w:sz w:val="24"/>
        </w:rPr>
        <w:t>3</w:t>
      </w:r>
      <w:r w:rsidRPr="00F5336E">
        <w:rPr>
          <w:rFonts w:asciiTheme="minorHAnsi" w:hAnsiTheme="minorHAnsi"/>
          <w:sz w:val="24"/>
        </w:rPr>
        <w:t xml:space="preserve">. Sigortalı </w:t>
      </w:r>
      <w:r>
        <w:rPr>
          <w:rFonts w:asciiTheme="minorHAnsi" w:hAnsiTheme="minorHAnsi"/>
          <w:sz w:val="24"/>
        </w:rPr>
        <w:t xml:space="preserve">Ücretli (4/a) Kadın </w:t>
      </w:r>
      <w:r w:rsidRPr="00F5336E">
        <w:rPr>
          <w:rFonts w:asciiTheme="minorHAnsi" w:hAnsiTheme="minorHAnsi"/>
          <w:sz w:val="24"/>
        </w:rPr>
        <w:t xml:space="preserve">Çalışan </w:t>
      </w:r>
      <w:r>
        <w:rPr>
          <w:rFonts w:asciiTheme="minorHAnsi" w:hAnsiTheme="minorHAnsi"/>
          <w:sz w:val="24"/>
        </w:rPr>
        <w:t xml:space="preserve">Sayısı </w:t>
      </w:r>
      <w:r w:rsidRPr="00F5336E">
        <w:rPr>
          <w:rFonts w:asciiTheme="minorHAnsi" w:hAnsiTheme="minorHAnsi"/>
          <w:sz w:val="24"/>
        </w:rPr>
        <w:t>(</w:t>
      </w:r>
      <w:r>
        <w:rPr>
          <w:rFonts w:asciiTheme="minorHAnsi" w:hAnsiTheme="minorHAnsi"/>
          <w:sz w:val="24"/>
        </w:rPr>
        <w:t>Temmuz, 2009-2012; Haziran-Temmuz 2012</w:t>
      </w:r>
      <w:r w:rsidRPr="00F5336E">
        <w:rPr>
          <w:rFonts w:asciiTheme="minorHAnsi" w:hAnsiTheme="minorHAnsi"/>
          <w:sz w:val="24"/>
        </w:rPr>
        <w:t>)</w:t>
      </w:r>
    </w:p>
    <w:tbl>
      <w:tblPr>
        <w:tblW w:w="8732" w:type="dxa"/>
        <w:jc w:val="center"/>
        <w:tblInd w:w="-4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508"/>
        <w:gridCol w:w="1220"/>
        <w:gridCol w:w="1220"/>
        <w:gridCol w:w="2784"/>
      </w:tblGrid>
      <w:tr w:rsidR="00C937FB" w:rsidRPr="005E0FA6" w:rsidTr="00FC1B6B">
        <w:trPr>
          <w:trHeight w:val="713"/>
          <w:jc w:val="center"/>
        </w:trPr>
        <w:tc>
          <w:tcPr>
            <w:tcW w:w="3508" w:type="dxa"/>
            <w:tcBorders>
              <w:top w:val="single" w:sz="8" w:space="0" w:color="FFFFFF"/>
              <w:bottom w:val="single" w:sz="24" w:space="0" w:color="FFFFFF"/>
              <w:right w:val="single" w:sz="8" w:space="0" w:color="FFFFFF"/>
            </w:tcBorders>
            <w:shd w:val="clear" w:color="auto" w:fill="4F81BD"/>
            <w:noWrap/>
          </w:tcPr>
          <w:p w:rsidR="00C937FB" w:rsidRPr="005E0FA6" w:rsidRDefault="00C937FB" w:rsidP="00FC1B6B">
            <w:pPr>
              <w:spacing w:after="0" w:line="240" w:lineRule="auto"/>
              <w:ind w:left="-690"/>
              <w:rPr>
                <w:rFonts w:cs="Calibri"/>
                <w:b/>
                <w:bCs/>
                <w:color w:val="000000"/>
                <w:sz w:val="20"/>
              </w:rPr>
            </w:pPr>
          </w:p>
        </w:tc>
        <w:tc>
          <w:tcPr>
            <w:tcW w:w="1220" w:type="dxa"/>
            <w:tcBorders>
              <w:top w:val="single" w:sz="8" w:space="0" w:color="FFFFFF"/>
              <w:bottom w:val="single" w:sz="24" w:space="0" w:color="FFFFFF"/>
            </w:tcBorders>
            <w:shd w:val="clear" w:color="auto" w:fill="4F81BD"/>
            <w:vAlign w:val="center"/>
          </w:tcPr>
          <w:p w:rsidR="00C937FB" w:rsidRDefault="00C937FB" w:rsidP="00FC1B6B">
            <w:pPr>
              <w:spacing w:after="0" w:line="240" w:lineRule="auto"/>
              <w:jc w:val="center"/>
              <w:rPr>
                <w:rFonts w:cs="Calibri"/>
                <w:b/>
                <w:bCs/>
                <w:color w:val="000000"/>
              </w:rPr>
            </w:pPr>
            <w:r>
              <w:rPr>
                <w:rFonts w:cs="Calibri"/>
                <w:b/>
                <w:bCs/>
                <w:color w:val="000000"/>
              </w:rPr>
              <w:t>Konya</w:t>
            </w:r>
          </w:p>
          <w:p w:rsidR="00C937FB" w:rsidRPr="005E0FA6" w:rsidRDefault="00C937FB" w:rsidP="00FC1B6B">
            <w:pPr>
              <w:spacing w:after="0" w:line="240" w:lineRule="auto"/>
              <w:jc w:val="center"/>
              <w:rPr>
                <w:rFonts w:cs="Calibri"/>
                <w:b/>
                <w:bCs/>
                <w:color w:val="000000"/>
              </w:rPr>
            </w:pPr>
            <w:r>
              <w:rPr>
                <w:rFonts w:cs="Calibri"/>
                <w:b/>
                <w:bCs/>
                <w:color w:val="000000"/>
              </w:rPr>
              <w:t xml:space="preserve">(4/a) </w:t>
            </w:r>
          </w:p>
        </w:tc>
        <w:tc>
          <w:tcPr>
            <w:tcW w:w="1220" w:type="dxa"/>
            <w:tcBorders>
              <w:top w:val="single" w:sz="8" w:space="0" w:color="FFFFFF"/>
              <w:left w:val="single" w:sz="8" w:space="0" w:color="FFFFFF"/>
              <w:bottom w:val="single" w:sz="24" w:space="0" w:color="FFFFFF"/>
              <w:right w:val="single" w:sz="8" w:space="0" w:color="FFFFFF"/>
            </w:tcBorders>
            <w:shd w:val="clear" w:color="auto" w:fill="4F81BD"/>
            <w:noWrap/>
            <w:vAlign w:val="center"/>
          </w:tcPr>
          <w:p w:rsidR="00C937FB" w:rsidRDefault="00C937FB" w:rsidP="00FC1B6B">
            <w:pPr>
              <w:spacing w:after="0" w:line="240" w:lineRule="auto"/>
              <w:jc w:val="center"/>
              <w:rPr>
                <w:rFonts w:cs="Calibri"/>
                <w:b/>
                <w:bCs/>
                <w:color w:val="000000"/>
              </w:rPr>
            </w:pPr>
            <w:r>
              <w:rPr>
                <w:rFonts w:cs="Calibri"/>
                <w:b/>
                <w:bCs/>
                <w:color w:val="000000"/>
              </w:rPr>
              <w:t>Türkiye</w:t>
            </w:r>
          </w:p>
          <w:p w:rsidR="00C937FB" w:rsidRPr="005E0FA6" w:rsidRDefault="00C937FB" w:rsidP="00FC1B6B">
            <w:pPr>
              <w:spacing w:after="0" w:line="240" w:lineRule="auto"/>
              <w:jc w:val="center"/>
              <w:rPr>
                <w:rFonts w:cs="Calibri"/>
                <w:b/>
                <w:bCs/>
                <w:color w:val="000000"/>
              </w:rPr>
            </w:pPr>
            <w:r>
              <w:rPr>
                <w:rFonts w:cs="Calibri"/>
                <w:b/>
                <w:bCs/>
                <w:color w:val="000000"/>
              </w:rPr>
              <w:t>(4/a)</w:t>
            </w:r>
          </w:p>
        </w:tc>
        <w:tc>
          <w:tcPr>
            <w:tcW w:w="2784" w:type="dxa"/>
            <w:tcBorders>
              <w:top w:val="single" w:sz="8" w:space="0" w:color="FFFFFF"/>
              <w:left w:val="single" w:sz="8" w:space="0" w:color="FFFFFF"/>
              <w:bottom w:val="single" w:sz="24" w:space="0" w:color="FFFFFF"/>
              <w:right w:val="single" w:sz="8" w:space="0" w:color="FFFFFF"/>
            </w:tcBorders>
            <w:shd w:val="clear" w:color="auto" w:fill="4F81BD"/>
          </w:tcPr>
          <w:p w:rsidR="00C937FB" w:rsidRDefault="00C937FB" w:rsidP="00FC1B6B">
            <w:pPr>
              <w:spacing w:after="0" w:line="240" w:lineRule="auto"/>
              <w:jc w:val="center"/>
              <w:rPr>
                <w:rFonts w:cs="Calibri"/>
                <w:b/>
                <w:bCs/>
                <w:color w:val="000000"/>
              </w:rPr>
            </w:pPr>
            <w:r>
              <w:rPr>
                <w:rFonts w:cs="Calibri"/>
                <w:b/>
                <w:bCs/>
                <w:color w:val="000000"/>
              </w:rPr>
              <w:t xml:space="preserve">Konya’daki </w:t>
            </w:r>
            <w:r w:rsidRPr="00BD115E">
              <w:rPr>
                <w:rFonts w:cs="Calibri"/>
                <w:b/>
                <w:bCs/>
                <w:color w:val="000000"/>
              </w:rPr>
              <w:t xml:space="preserve">Kadın İstihdamının </w:t>
            </w:r>
            <w:r>
              <w:rPr>
                <w:rFonts w:cs="Calibri"/>
                <w:b/>
                <w:bCs/>
                <w:color w:val="000000"/>
              </w:rPr>
              <w:t xml:space="preserve">Konya’daki </w:t>
            </w:r>
            <w:r w:rsidRPr="00BD115E">
              <w:rPr>
                <w:rFonts w:cs="Calibri"/>
                <w:b/>
                <w:bCs/>
                <w:color w:val="000000"/>
              </w:rPr>
              <w:t>Toplam İstihdama Oranı</w:t>
            </w:r>
            <w:r>
              <w:rPr>
                <w:rFonts w:cs="Calibri"/>
                <w:b/>
                <w:bCs/>
                <w:color w:val="000000"/>
              </w:rPr>
              <w:t xml:space="preserve"> (%)</w:t>
            </w:r>
          </w:p>
        </w:tc>
      </w:tr>
      <w:tr w:rsidR="00C937FB" w:rsidRPr="005E0FA6" w:rsidTr="00FC1B6B">
        <w:trPr>
          <w:trHeight w:val="268"/>
          <w:jc w:val="center"/>
        </w:trPr>
        <w:tc>
          <w:tcPr>
            <w:tcW w:w="350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 xml:space="preserve">Temmuz </w:t>
            </w:r>
            <w:r w:rsidRPr="005E0FA6">
              <w:rPr>
                <w:rFonts w:cs="Calibri"/>
                <w:b/>
                <w:bCs/>
                <w:color w:val="000000"/>
              </w:rPr>
              <w:t>200</w:t>
            </w:r>
            <w:r>
              <w:rPr>
                <w:rFonts w:cs="Calibri"/>
                <w:b/>
                <w:bCs/>
                <w:color w:val="000000"/>
              </w:rPr>
              <w:t>9</w:t>
            </w:r>
          </w:p>
        </w:tc>
        <w:tc>
          <w:tcPr>
            <w:tcW w:w="1220" w:type="dxa"/>
            <w:tcBorders>
              <w:top w:val="single" w:sz="8" w:space="0" w:color="FFFFFF"/>
              <w:bottom w:val="single" w:sz="8" w:space="0" w:color="FFFFFF"/>
            </w:tcBorders>
            <w:shd w:val="clear" w:color="auto" w:fill="A7BFDE"/>
            <w:vAlign w:val="center"/>
          </w:tcPr>
          <w:p w:rsidR="00C937FB" w:rsidRPr="00473FBA" w:rsidRDefault="00C937FB" w:rsidP="00FC1B6B">
            <w:pPr>
              <w:spacing w:after="0" w:line="240" w:lineRule="auto"/>
              <w:jc w:val="center"/>
              <w:rPr>
                <w:rFonts w:cs="Calibri"/>
                <w:bCs/>
                <w:color w:val="000000"/>
              </w:rPr>
            </w:pPr>
            <w:r>
              <w:rPr>
                <w:rFonts w:cs="Calibri"/>
                <w:bCs/>
                <w:color w:val="000000"/>
              </w:rPr>
              <w:t>26.671</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2.083.405</w:t>
            </w:r>
          </w:p>
        </w:tc>
        <w:tc>
          <w:tcPr>
            <w:tcW w:w="27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937FB" w:rsidRPr="005F121F" w:rsidRDefault="00C937FB" w:rsidP="00FC1B6B">
            <w:pPr>
              <w:spacing w:after="0" w:line="240" w:lineRule="auto"/>
              <w:jc w:val="center"/>
              <w:rPr>
                <w:rFonts w:cs="Calibri"/>
                <w:bCs/>
                <w:color w:val="000000"/>
              </w:rPr>
            </w:pPr>
            <w:r>
              <w:rPr>
                <w:rFonts w:cs="Calibri"/>
                <w:bCs/>
                <w:color w:val="000000"/>
              </w:rPr>
              <w:t>14,4</w:t>
            </w:r>
          </w:p>
        </w:tc>
      </w:tr>
      <w:tr w:rsidR="00C937FB" w:rsidRPr="005E0FA6" w:rsidTr="00FC1B6B">
        <w:trPr>
          <w:trHeight w:val="268"/>
          <w:jc w:val="center"/>
        </w:trPr>
        <w:tc>
          <w:tcPr>
            <w:tcW w:w="3508" w:type="dxa"/>
            <w:tcBorders>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w:t>
            </w:r>
            <w:r>
              <w:rPr>
                <w:rFonts w:cs="Calibri"/>
                <w:b/>
                <w:bCs/>
                <w:color w:val="000000"/>
              </w:rPr>
              <w:t>10</w:t>
            </w:r>
          </w:p>
        </w:tc>
        <w:tc>
          <w:tcPr>
            <w:tcW w:w="1220" w:type="dxa"/>
            <w:shd w:val="clear" w:color="auto" w:fill="D3DFEE"/>
            <w:vAlign w:val="center"/>
          </w:tcPr>
          <w:p w:rsidR="00C937FB" w:rsidRPr="00473FBA" w:rsidRDefault="00C937FB" w:rsidP="00FC1B6B">
            <w:pPr>
              <w:spacing w:after="0" w:line="240" w:lineRule="auto"/>
              <w:jc w:val="center"/>
              <w:rPr>
                <w:rFonts w:cs="Calibri"/>
                <w:bCs/>
                <w:color w:val="000000"/>
              </w:rPr>
            </w:pPr>
            <w:r>
              <w:rPr>
                <w:rFonts w:cs="Calibri"/>
                <w:bCs/>
                <w:color w:val="000000"/>
              </w:rPr>
              <w:t>32.176</w:t>
            </w:r>
          </w:p>
        </w:tc>
        <w:tc>
          <w:tcPr>
            <w:tcW w:w="1220" w:type="dxa"/>
            <w:shd w:val="clear" w:color="auto" w:fill="D3DFE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2.357.564</w:t>
            </w:r>
          </w:p>
        </w:tc>
        <w:tc>
          <w:tcPr>
            <w:tcW w:w="2784" w:type="dxa"/>
            <w:shd w:val="clear" w:color="auto" w:fill="D3DFEE"/>
            <w:vAlign w:val="center"/>
          </w:tcPr>
          <w:p w:rsidR="00C937FB" w:rsidRPr="005F121F" w:rsidRDefault="00C937FB" w:rsidP="00FC1B6B">
            <w:pPr>
              <w:spacing w:after="0" w:line="240" w:lineRule="auto"/>
              <w:jc w:val="center"/>
              <w:rPr>
                <w:rFonts w:cs="Calibri"/>
                <w:bCs/>
                <w:color w:val="000000"/>
              </w:rPr>
            </w:pPr>
            <w:r>
              <w:rPr>
                <w:rFonts w:cs="Calibri"/>
                <w:bCs/>
                <w:color w:val="000000"/>
              </w:rPr>
              <w:t>15,3</w:t>
            </w:r>
          </w:p>
        </w:tc>
      </w:tr>
      <w:tr w:rsidR="00C937FB" w:rsidRPr="005E0FA6" w:rsidTr="00FC1B6B">
        <w:trPr>
          <w:trHeight w:val="268"/>
          <w:jc w:val="center"/>
        </w:trPr>
        <w:tc>
          <w:tcPr>
            <w:tcW w:w="350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1</w:t>
            </w:r>
          </w:p>
        </w:tc>
        <w:tc>
          <w:tcPr>
            <w:tcW w:w="1220" w:type="dxa"/>
            <w:tcBorders>
              <w:top w:val="single" w:sz="8" w:space="0" w:color="FFFFFF"/>
              <w:bottom w:val="single" w:sz="8" w:space="0" w:color="FFFFFF"/>
            </w:tcBorders>
            <w:shd w:val="clear" w:color="auto" w:fill="A7BFDE"/>
            <w:vAlign w:val="center"/>
          </w:tcPr>
          <w:p w:rsidR="00C937FB" w:rsidRPr="00473FBA" w:rsidRDefault="00C937FB" w:rsidP="00FC1B6B">
            <w:pPr>
              <w:spacing w:after="0" w:line="240" w:lineRule="auto"/>
              <w:jc w:val="center"/>
              <w:rPr>
                <w:rFonts w:cs="Calibri"/>
                <w:bCs/>
                <w:color w:val="000000"/>
              </w:rPr>
            </w:pPr>
            <w:r>
              <w:rPr>
                <w:rFonts w:cs="Calibri"/>
                <w:bCs/>
                <w:color w:val="000000"/>
              </w:rPr>
              <w:t>35.876</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2.645.500</w:t>
            </w:r>
          </w:p>
        </w:tc>
        <w:tc>
          <w:tcPr>
            <w:tcW w:w="27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C937FB" w:rsidRPr="005F121F" w:rsidRDefault="00C937FB" w:rsidP="00FC1B6B">
            <w:pPr>
              <w:spacing w:after="0" w:line="240" w:lineRule="auto"/>
              <w:jc w:val="center"/>
              <w:rPr>
                <w:rFonts w:cs="Calibri"/>
                <w:bCs/>
                <w:color w:val="000000"/>
              </w:rPr>
            </w:pPr>
            <w:r>
              <w:rPr>
                <w:rFonts w:cs="Calibri"/>
                <w:bCs/>
                <w:color w:val="000000"/>
              </w:rPr>
              <w:t>15,4</w:t>
            </w: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2</w:t>
            </w:r>
          </w:p>
        </w:tc>
        <w:tc>
          <w:tcPr>
            <w:tcW w:w="1220" w:type="dxa"/>
            <w:shd w:val="clear" w:color="auto" w:fill="D3DFEE"/>
            <w:vAlign w:val="center"/>
          </w:tcPr>
          <w:p w:rsidR="00C937FB" w:rsidRPr="00473FBA" w:rsidRDefault="00C937FB" w:rsidP="00FC1B6B">
            <w:pPr>
              <w:spacing w:after="0" w:line="240" w:lineRule="auto"/>
              <w:jc w:val="center"/>
              <w:rPr>
                <w:rFonts w:cs="Calibri"/>
                <w:bCs/>
                <w:color w:val="000000"/>
              </w:rPr>
            </w:pPr>
            <w:r>
              <w:rPr>
                <w:rFonts w:cs="Calibri"/>
                <w:bCs/>
                <w:color w:val="000000"/>
              </w:rPr>
              <w:t>40.044</w:t>
            </w:r>
          </w:p>
        </w:tc>
        <w:tc>
          <w:tcPr>
            <w:tcW w:w="1220" w:type="dxa"/>
            <w:shd w:val="clear" w:color="auto" w:fill="D3DFE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2.908.240</w:t>
            </w:r>
          </w:p>
        </w:tc>
        <w:tc>
          <w:tcPr>
            <w:tcW w:w="2784" w:type="dxa"/>
            <w:shd w:val="clear" w:color="auto" w:fill="D3DFEE"/>
            <w:vAlign w:val="center"/>
          </w:tcPr>
          <w:p w:rsidR="00C937FB" w:rsidRPr="005F121F" w:rsidRDefault="00C937FB" w:rsidP="00FC1B6B">
            <w:pPr>
              <w:spacing w:after="0" w:line="240" w:lineRule="auto"/>
              <w:jc w:val="center"/>
              <w:rPr>
                <w:rFonts w:cs="Calibri"/>
                <w:bCs/>
                <w:color w:val="000000"/>
              </w:rPr>
            </w:pPr>
            <w:r>
              <w:rPr>
                <w:rFonts w:cs="Calibri"/>
                <w:bCs/>
                <w:color w:val="000000"/>
              </w:rPr>
              <w:t>15,4</w:t>
            </w:r>
          </w:p>
        </w:tc>
      </w:tr>
      <w:tr w:rsidR="00C937FB" w:rsidRPr="005E0FA6" w:rsidTr="00FC1B6B">
        <w:trPr>
          <w:trHeight w:val="268"/>
          <w:jc w:val="center"/>
        </w:trPr>
        <w:tc>
          <w:tcPr>
            <w:tcW w:w="8732" w:type="dxa"/>
            <w:gridSpan w:val="4"/>
            <w:shd w:val="clear" w:color="auto" w:fill="4F81BD"/>
            <w:noWrap/>
            <w:vAlign w:val="center"/>
          </w:tcPr>
          <w:p w:rsidR="00C937FB" w:rsidRPr="00A739DC"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11</w:t>
            </w:r>
            <w:r w:rsidRPr="005E0FA6">
              <w:rPr>
                <w:rFonts w:cs="Calibri"/>
                <w:b/>
                <w:bCs/>
                <w:color w:val="000000"/>
              </w:rPr>
              <w:t xml:space="preserve"> (Fark)</w:t>
            </w:r>
          </w:p>
        </w:tc>
        <w:tc>
          <w:tcPr>
            <w:tcW w:w="1220" w:type="dxa"/>
            <w:shd w:val="clear" w:color="auto" w:fill="D3DFEE"/>
            <w:vAlign w:val="center"/>
          </w:tcPr>
          <w:p w:rsidR="00C937FB" w:rsidRPr="00473FBA" w:rsidRDefault="00C937FB" w:rsidP="00FC1B6B">
            <w:pPr>
              <w:spacing w:after="0" w:line="240" w:lineRule="auto"/>
              <w:jc w:val="center"/>
              <w:rPr>
                <w:rFonts w:cs="Calibri"/>
                <w:bCs/>
                <w:color w:val="000000"/>
              </w:rPr>
            </w:pPr>
            <w:r>
              <w:rPr>
                <w:rFonts w:cs="Calibri"/>
                <w:bCs/>
                <w:color w:val="000000"/>
              </w:rPr>
              <w:t>4.168</w:t>
            </w:r>
          </w:p>
        </w:tc>
        <w:tc>
          <w:tcPr>
            <w:tcW w:w="1220" w:type="dxa"/>
            <w:shd w:val="clear" w:color="auto" w:fill="D3DFE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262.740</w:t>
            </w:r>
          </w:p>
        </w:tc>
        <w:tc>
          <w:tcPr>
            <w:tcW w:w="2784" w:type="dxa"/>
            <w:vMerge w:val="restart"/>
            <w:shd w:val="clear" w:color="auto" w:fill="4F81BD"/>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Temmuz 11</w:t>
            </w:r>
            <w:r w:rsidRPr="005E0FA6">
              <w:rPr>
                <w:rFonts w:cs="Calibri"/>
                <w:b/>
                <w:bCs/>
                <w:color w:val="000000"/>
              </w:rPr>
              <w:t xml:space="preserve"> (Artış, %)</w:t>
            </w:r>
          </w:p>
        </w:tc>
        <w:tc>
          <w:tcPr>
            <w:tcW w:w="1220" w:type="dxa"/>
            <w:shd w:val="clear" w:color="auto" w:fill="D3DFEE"/>
            <w:vAlign w:val="center"/>
          </w:tcPr>
          <w:p w:rsidR="00C937FB" w:rsidRPr="00473FBA" w:rsidRDefault="00C937FB" w:rsidP="00FC1B6B">
            <w:pPr>
              <w:spacing w:after="0" w:line="240" w:lineRule="auto"/>
              <w:jc w:val="center"/>
              <w:rPr>
                <w:rFonts w:cs="Calibri"/>
                <w:bCs/>
                <w:color w:val="000000"/>
              </w:rPr>
            </w:pPr>
            <w:r>
              <w:rPr>
                <w:rFonts w:cs="Calibri"/>
                <w:bCs/>
                <w:color w:val="000000"/>
              </w:rPr>
              <w:t>11,6</w:t>
            </w:r>
          </w:p>
        </w:tc>
        <w:tc>
          <w:tcPr>
            <w:tcW w:w="1220" w:type="dxa"/>
            <w:shd w:val="clear" w:color="auto" w:fill="D3DFE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9,9</w:t>
            </w:r>
          </w:p>
        </w:tc>
        <w:tc>
          <w:tcPr>
            <w:tcW w:w="2784" w:type="dxa"/>
            <w:vMerge/>
            <w:shd w:val="clear" w:color="auto" w:fill="4F81BD"/>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11 - Temmuz 10</w:t>
            </w:r>
            <w:r w:rsidRPr="005E0FA6">
              <w:rPr>
                <w:rFonts w:cs="Calibri"/>
                <w:b/>
                <w:bCs/>
                <w:color w:val="000000"/>
              </w:rPr>
              <w:t xml:space="preserve"> (Artış, %)</w:t>
            </w:r>
          </w:p>
        </w:tc>
        <w:tc>
          <w:tcPr>
            <w:tcW w:w="1220" w:type="dxa"/>
            <w:shd w:val="clear" w:color="auto" w:fill="D3DFEE"/>
            <w:vAlign w:val="center"/>
          </w:tcPr>
          <w:p w:rsidR="00C937FB" w:rsidRPr="00473FBA" w:rsidRDefault="00C937FB" w:rsidP="00FC1B6B">
            <w:pPr>
              <w:spacing w:after="0" w:line="240" w:lineRule="auto"/>
              <w:jc w:val="center"/>
              <w:rPr>
                <w:rFonts w:cs="Calibri"/>
                <w:bCs/>
                <w:color w:val="000000"/>
              </w:rPr>
            </w:pPr>
            <w:r>
              <w:rPr>
                <w:rFonts w:cs="Calibri"/>
                <w:bCs/>
                <w:color w:val="000000"/>
              </w:rPr>
              <w:t>11,5</w:t>
            </w:r>
          </w:p>
        </w:tc>
        <w:tc>
          <w:tcPr>
            <w:tcW w:w="1220" w:type="dxa"/>
            <w:shd w:val="clear" w:color="auto" w:fill="D3DFE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12,2</w:t>
            </w:r>
          </w:p>
        </w:tc>
        <w:tc>
          <w:tcPr>
            <w:tcW w:w="2784" w:type="dxa"/>
            <w:vMerge/>
            <w:shd w:val="clear" w:color="auto" w:fill="4F81BD"/>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10 - Temmuz 09</w:t>
            </w:r>
            <w:r w:rsidRPr="005E0FA6">
              <w:rPr>
                <w:rFonts w:cs="Calibri"/>
                <w:b/>
                <w:bCs/>
                <w:color w:val="000000"/>
              </w:rPr>
              <w:t xml:space="preserve"> (Artış, %)</w:t>
            </w:r>
          </w:p>
        </w:tc>
        <w:tc>
          <w:tcPr>
            <w:tcW w:w="1220" w:type="dxa"/>
            <w:shd w:val="clear" w:color="auto" w:fill="D3DFEE"/>
            <w:vAlign w:val="center"/>
          </w:tcPr>
          <w:p w:rsidR="00C937FB" w:rsidRPr="00473FBA" w:rsidRDefault="00C937FB" w:rsidP="00FC1B6B">
            <w:pPr>
              <w:spacing w:after="0" w:line="240" w:lineRule="auto"/>
              <w:jc w:val="center"/>
              <w:rPr>
                <w:rFonts w:cs="Calibri"/>
                <w:bCs/>
                <w:color w:val="000000"/>
              </w:rPr>
            </w:pPr>
            <w:r>
              <w:rPr>
                <w:rFonts w:cs="Calibri"/>
                <w:bCs/>
                <w:color w:val="000000"/>
              </w:rPr>
              <w:t>20,6</w:t>
            </w:r>
          </w:p>
        </w:tc>
        <w:tc>
          <w:tcPr>
            <w:tcW w:w="1220" w:type="dxa"/>
            <w:shd w:val="clear" w:color="auto" w:fill="D3DFE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13,1</w:t>
            </w:r>
          </w:p>
        </w:tc>
        <w:tc>
          <w:tcPr>
            <w:tcW w:w="2784" w:type="dxa"/>
            <w:vMerge/>
            <w:shd w:val="clear" w:color="auto" w:fill="4F81BD"/>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09</w:t>
            </w:r>
            <w:r w:rsidRPr="005E0FA6">
              <w:rPr>
                <w:rFonts w:cs="Calibri"/>
                <w:b/>
                <w:bCs/>
                <w:color w:val="000000"/>
              </w:rPr>
              <w:t xml:space="preserve"> (Artış, %)</w:t>
            </w:r>
          </w:p>
        </w:tc>
        <w:tc>
          <w:tcPr>
            <w:tcW w:w="1220" w:type="dxa"/>
            <w:shd w:val="clear" w:color="auto" w:fill="D3DFEE"/>
            <w:vAlign w:val="center"/>
          </w:tcPr>
          <w:p w:rsidR="00C937FB" w:rsidRPr="00473FBA" w:rsidRDefault="00C937FB" w:rsidP="00FC1B6B">
            <w:pPr>
              <w:spacing w:after="0" w:line="240" w:lineRule="auto"/>
              <w:jc w:val="center"/>
              <w:rPr>
                <w:rFonts w:cs="Calibri"/>
                <w:bCs/>
                <w:color w:val="000000"/>
              </w:rPr>
            </w:pPr>
            <w:r>
              <w:rPr>
                <w:rFonts w:cs="Calibri"/>
                <w:bCs/>
                <w:color w:val="000000"/>
              </w:rPr>
              <w:t>50,1</w:t>
            </w:r>
          </w:p>
        </w:tc>
        <w:tc>
          <w:tcPr>
            <w:tcW w:w="1220" w:type="dxa"/>
            <w:shd w:val="clear" w:color="auto" w:fill="D3DFEE"/>
            <w:noWrap/>
            <w:vAlign w:val="center"/>
          </w:tcPr>
          <w:p w:rsidR="00C937FB" w:rsidRPr="00473FBA" w:rsidRDefault="00C937FB" w:rsidP="00FC1B6B">
            <w:pPr>
              <w:spacing w:after="0" w:line="240" w:lineRule="auto"/>
              <w:jc w:val="center"/>
              <w:rPr>
                <w:rFonts w:cs="Calibri"/>
                <w:bCs/>
                <w:color w:val="000000"/>
              </w:rPr>
            </w:pPr>
            <w:r>
              <w:rPr>
                <w:rFonts w:cs="Calibri"/>
                <w:bCs/>
                <w:color w:val="000000"/>
              </w:rPr>
              <w:t>39,6</w:t>
            </w:r>
          </w:p>
        </w:tc>
        <w:tc>
          <w:tcPr>
            <w:tcW w:w="2784" w:type="dxa"/>
            <w:vMerge/>
            <w:shd w:val="clear" w:color="auto" w:fill="4F81BD"/>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8732" w:type="dxa"/>
            <w:gridSpan w:val="4"/>
            <w:shd w:val="clear" w:color="auto" w:fill="4F81BD"/>
            <w:noWrap/>
            <w:vAlign w:val="center"/>
          </w:tcPr>
          <w:p w:rsidR="00C937FB" w:rsidRPr="00837A6A" w:rsidRDefault="00C937FB" w:rsidP="00FC1B6B">
            <w:pPr>
              <w:spacing w:after="0" w:line="240" w:lineRule="auto"/>
              <w:jc w:val="center"/>
              <w:rPr>
                <w:rFonts w:cs="Calibri"/>
                <w:bCs/>
                <w:color w:val="000000"/>
              </w:rPr>
            </w:pPr>
          </w:p>
        </w:tc>
      </w:tr>
      <w:tr w:rsidR="00C937FB" w:rsidRPr="005F121F" w:rsidTr="00FC1B6B">
        <w:trPr>
          <w:trHeight w:val="268"/>
          <w:jc w:val="center"/>
        </w:trPr>
        <w:tc>
          <w:tcPr>
            <w:tcW w:w="350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Haziran 2012*</w:t>
            </w:r>
          </w:p>
        </w:tc>
        <w:tc>
          <w:tcPr>
            <w:tcW w:w="1220" w:type="dxa"/>
            <w:shd w:val="clear" w:color="auto" w:fill="D3DFEE"/>
            <w:vAlign w:val="center"/>
          </w:tcPr>
          <w:p w:rsidR="00C937FB" w:rsidRPr="001D391A" w:rsidRDefault="00C937FB" w:rsidP="00FC1B6B">
            <w:pPr>
              <w:spacing w:after="0" w:line="240" w:lineRule="auto"/>
              <w:jc w:val="center"/>
              <w:rPr>
                <w:rFonts w:cs="Calibri"/>
                <w:bCs/>
                <w:color w:val="000000"/>
              </w:rPr>
            </w:pPr>
            <w:r>
              <w:rPr>
                <w:rFonts w:cs="Calibri"/>
                <w:bCs/>
                <w:color w:val="000000"/>
              </w:rPr>
              <w:t>34.790</w:t>
            </w:r>
          </w:p>
        </w:tc>
        <w:tc>
          <w:tcPr>
            <w:tcW w:w="1220" w:type="dxa"/>
            <w:shd w:val="clear" w:color="auto" w:fill="D3DFEE"/>
            <w:noWrap/>
            <w:vAlign w:val="center"/>
          </w:tcPr>
          <w:p w:rsidR="00C937FB" w:rsidRPr="001D391A" w:rsidRDefault="00C937FB" w:rsidP="00FC1B6B">
            <w:pPr>
              <w:spacing w:after="0" w:line="240" w:lineRule="auto"/>
              <w:jc w:val="center"/>
              <w:rPr>
                <w:rFonts w:cs="Calibri"/>
                <w:bCs/>
                <w:color w:val="000000"/>
              </w:rPr>
            </w:pPr>
            <w:r>
              <w:rPr>
                <w:rFonts w:cs="Calibri"/>
                <w:bCs/>
                <w:color w:val="000000"/>
              </w:rPr>
              <w:t>2.839.234</w:t>
            </w:r>
          </w:p>
        </w:tc>
        <w:tc>
          <w:tcPr>
            <w:tcW w:w="2784" w:type="dxa"/>
            <w:tcBorders>
              <w:top w:val="single" w:sz="6" w:space="0" w:color="FFFFFF"/>
              <w:bottom w:val="single" w:sz="6" w:space="0" w:color="FFFFFF"/>
            </w:tcBorders>
            <w:shd w:val="clear" w:color="auto" w:fill="C6D9F1" w:themeFill="text2" w:themeFillTint="33"/>
            <w:vAlign w:val="center"/>
          </w:tcPr>
          <w:p w:rsidR="00C937FB" w:rsidRPr="005F121F" w:rsidRDefault="00C937FB" w:rsidP="00FC1B6B">
            <w:pPr>
              <w:spacing w:after="0" w:line="240" w:lineRule="auto"/>
              <w:jc w:val="center"/>
              <w:rPr>
                <w:rFonts w:cs="Calibri"/>
                <w:bCs/>
                <w:color w:val="000000"/>
              </w:rPr>
            </w:pPr>
            <w:r>
              <w:rPr>
                <w:rFonts w:cs="Calibri"/>
                <w:bCs/>
                <w:color w:val="000000"/>
              </w:rPr>
              <w:t>14,5</w:t>
            </w:r>
          </w:p>
        </w:tc>
      </w:tr>
      <w:tr w:rsidR="00C937FB" w:rsidRPr="005F121F" w:rsidTr="00FC1B6B">
        <w:trPr>
          <w:trHeight w:val="268"/>
          <w:jc w:val="center"/>
        </w:trPr>
        <w:tc>
          <w:tcPr>
            <w:tcW w:w="350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Temmuz 2012*</w:t>
            </w:r>
          </w:p>
        </w:tc>
        <w:tc>
          <w:tcPr>
            <w:tcW w:w="1220" w:type="dxa"/>
            <w:shd w:val="clear" w:color="auto" w:fill="D3DFEE"/>
            <w:vAlign w:val="center"/>
          </w:tcPr>
          <w:p w:rsidR="00C937FB" w:rsidRPr="001D391A" w:rsidRDefault="00C937FB" w:rsidP="00FC1B6B">
            <w:pPr>
              <w:spacing w:after="0" w:line="240" w:lineRule="auto"/>
              <w:jc w:val="center"/>
              <w:rPr>
                <w:rFonts w:cs="Calibri"/>
                <w:bCs/>
                <w:color w:val="000000"/>
              </w:rPr>
            </w:pPr>
            <w:r>
              <w:rPr>
                <w:rFonts w:cs="Calibri"/>
                <w:bCs/>
                <w:color w:val="000000"/>
              </w:rPr>
              <w:t>35.451</w:t>
            </w:r>
          </w:p>
        </w:tc>
        <w:tc>
          <w:tcPr>
            <w:tcW w:w="1220" w:type="dxa"/>
            <w:shd w:val="clear" w:color="auto" w:fill="D3DFEE"/>
            <w:noWrap/>
            <w:vAlign w:val="center"/>
          </w:tcPr>
          <w:p w:rsidR="00C937FB" w:rsidRPr="001D391A" w:rsidRDefault="00C937FB" w:rsidP="00FC1B6B">
            <w:pPr>
              <w:spacing w:after="0" w:line="240" w:lineRule="auto"/>
              <w:jc w:val="center"/>
              <w:rPr>
                <w:rFonts w:cs="Calibri"/>
                <w:bCs/>
                <w:color w:val="000000"/>
              </w:rPr>
            </w:pPr>
            <w:r>
              <w:rPr>
                <w:rFonts w:cs="Calibri"/>
                <w:bCs/>
                <w:color w:val="000000"/>
              </w:rPr>
              <w:t>2.860.246</w:t>
            </w:r>
          </w:p>
        </w:tc>
        <w:tc>
          <w:tcPr>
            <w:tcW w:w="2784" w:type="dxa"/>
            <w:tcBorders>
              <w:top w:val="single" w:sz="6" w:space="0" w:color="FFFFFF"/>
              <w:bottom w:val="single" w:sz="6" w:space="0" w:color="FFFFFF"/>
            </w:tcBorders>
            <w:shd w:val="clear" w:color="auto" w:fill="C6D9F1" w:themeFill="text2" w:themeFillTint="33"/>
            <w:vAlign w:val="center"/>
          </w:tcPr>
          <w:p w:rsidR="00C937FB" w:rsidRPr="005F121F" w:rsidRDefault="00C937FB" w:rsidP="00FC1B6B">
            <w:pPr>
              <w:spacing w:after="0" w:line="240" w:lineRule="auto"/>
              <w:jc w:val="center"/>
              <w:rPr>
                <w:rFonts w:cs="Calibri"/>
                <w:bCs/>
                <w:color w:val="000000"/>
              </w:rPr>
            </w:pPr>
            <w:r>
              <w:rPr>
                <w:rFonts w:cs="Calibri"/>
                <w:bCs/>
                <w:color w:val="000000"/>
              </w:rPr>
              <w:t>14,6</w:t>
            </w:r>
          </w:p>
        </w:tc>
      </w:tr>
      <w:tr w:rsidR="00C937FB" w:rsidRPr="005F121F"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Haziran 12</w:t>
            </w:r>
            <w:r w:rsidRPr="005E0FA6">
              <w:rPr>
                <w:rFonts w:cs="Calibri"/>
                <w:b/>
                <w:bCs/>
                <w:color w:val="000000"/>
              </w:rPr>
              <w:t xml:space="preserve"> (Fark)</w:t>
            </w:r>
            <w:r>
              <w:rPr>
                <w:rFonts w:cs="Calibri"/>
                <w:b/>
                <w:bCs/>
                <w:color w:val="000000"/>
              </w:rPr>
              <w:t>*</w:t>
            </w:r>
          </w:p>
        </w:tc>
        <w:tc>
          <w:tcPr>
            <w:tcW w:w="1220" w:type="dxa"/>
            <w:shd w:val="clear" w:color="auto" w:fill="D3DFEE"/>
            <w:vAlign w:val="center"/>
          </w:tcPr>
          <w:p w:rsidR="00C937FB" w:rsidRPr="001D391A" w:rsidRDefault="00C937FB" w:rsidP="00FC1B6B">
            <w:pPr>
              <w:spacing w:after="0" w:line="240" w:lineRule="auto"/>
              <w:jc w:val="center"/>
              <w:rPr>
                <w:rFonts w:cs="Calibri"/>
                <w:bCs/>
                <w:color w:val="000000"/>
              </w:rPr>
            </w:pPr>
            <w:r>
              <w:rPr>
                <w:rFonts w:cs="Calibri"/>
                <w:bCs/>
                <w:color w:val="000000"/>
              </w:rPr>
              <w:t>661</w:t>
            </w:r>
          </w:p>
        </w:tc>
        <w:tc>
          <w:tcPr>
            <w:tcW w:w="1220" w:type="dxa"/>
            <w:shd w:val="clear" w:color="auto" w:fill="D3DFEE"/>
            <w:noWrap/>
            <w:vAlign w:val="center"/>
          </w:tcPr>
          <w:p w:rsidR="00C937FB" w:rsidRPr="001D391A" w:rsidRDefault="00C937FB" w:rsidP="00FC1B6B">
            <w:pPr>
              <w:spacing w:after="0" w:line="240" w:lineRule="auto"/>
              <w:jc w:val="center"/>
              <w:rPr>
                <w:rFonts w:cs="Calibri"/>
                <w:bCs/>
                <w:color w:val="000000"/>
              </w:rPr>
            </w:pPr>
            <w:r>
              <w:rPr>
                <w:rFonts w:cs="Calibri"/>
                <w:bCs/>
                <w:color w:val="000000"/>
              </w:rPr>
              <w:t>21.012</w:t>
            </w:r>
          </w:p>
        </w:tc>
        <w:tc>
          <w:tcPr>
            <w:tcW w:w="2784" w:type="dxa"/>
            <w:vMerge w:val="restart"/>
            <w:tcBorders>
              <w:top w:val="single" w:sz="6" w:space="0" w:color="FFFFFF"/>
            </w:tcBorders>
            <w:shd w:val="clear" w:color="auto" w:fill="4F81BD"/>
            <w:vAlign w:val="center"/>
          </w:tcPr>
          <w:p w:rsidR="00C937FB" w:rsidRPr="005F121F" w:rsidRDefault="00C937FB" w:rsidP="00FC1B6B">
            <w:pPr>
              <w:spacing w:after="0" w:line="240" w:lineRule="auto"/>
              <w:jc w:val="center"/>
              <w:rPr>
                <w:rFonts w:cs="Calibri"/>
                <w:bCs/>
                <w:color w:val="000000"/>
              </w:rPr>
            </w:pPr>
          </w:p>
        </w:tc>
      </w:tr>
      <w:tr w:rsidR="00C937FB" w:rsidRPr="005F121F" w:rsidTr="00FC1B6B">
        <w:trPr>
          <w:trHeight w:val="268"/>
          <w:jc w:val="center"/>
        </w:trPr>
        <w:tc>
          <w:tcPr>
            <w:tcW w:w="350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Haziran 12</w:t>
            </w:r>
            <w:r w:rsidRPr="005E0FA6">
              <w:rPr>
                <w:rFonts w:cs="Calibri"/>
                <w:b/>
                <w:bCs/>
                <w:color w:val="000000"/>
              </w:rPr>
              <w:t xml:space="preserve"> (Artış, %)</w:t>
            </w:r>
            <w:r>
              <w:rPr>
                <w:rFonts w:cs="Calibri"/>
                <w:b/>
                <w:bCs/>
                <w:color w:val="000000"/>
              </w:rPr>
              <w:t>*</w:t>
            </w:r>
          </w:p>
        </w:tc>
        <w:tc>
          <w:tcPr>
            <w:tcW w:w="1220" w:type="dxa"/>
            <w:shd w:val="clear" w:color="auto" w:fill="D3DFEE"/>
            <w:vAlign w:val="center"/>
          </w:tcPr>
          <w:p w:rsidR="00C937FB" w:rsidRPr="001D391A" w:rsidRDefault="00C937FB" w:rsidP="00FC1B6B">
            <w:pPr>
              <w:spacing w:after="0" w:line="240" w:lineRule="auto"/>
              <w:jc w:val="center"/>
              <w:rPr>
                <w:rFonts w:cs="Calibri"/>
                <w:bCs/>
                <w:color w:val="000000"/>
              </w:rPr>
            </w:pPr>
            <w:r>
              <w:rPr>
                <w:rFonts w:cs="Calibri"/>
                <w:bCs/>
                <w:color w:val="000000"/>
              </w:rPr>
              <w:t>1,9</w:t>
            </w:r>
          </w:p>
        </w:tc>
        <w:tc>
          <w:tcPr>
            <w:tcW w:w="1220" w:type="dxa"/>
            <w:shd w:val="clear" w:color="auto" w:fill="D3DFEE"/>
            <w:noWrap/>
            <w:vAlign w:val="center"/>
          </w:tcPr>
          <w:p w:rsidR="00C937FB" w:rsidRPr="001D391A" w:rsidRDefault="00C937FB" w:rsidP="00FC1B6B">
            <w:pPr>
              <w:spacing w:after="0" w:line="240" w:lineRule="auto"/>
              <w:jc w:val="center"/>
              <w:rPr>
                <w:rFonts w:cs="Calibri"/>
                <w:bCs/>
                <w:color w:val="000000"/>
              </w:rPr>
            </w:pPr>
            <w:r>
              <w:rPr>
                <w:rFonts w:cs="Calibri"/>
                <w:bCs/>
                <w:color w:val="000000"/>
              </w:rPr>
              <w:t>0,7</w:t>
            </w:r>
          </w:p>
        </w:tc>
        <w:tc>
          <w:tcPr>
            <w:tcW w:w="2784" w:type="dxa"/>
            <w:vMerge/>
            <w:shd w:val="clear" w:color="auto" w:fill="4F81BD"/>
            <w:vAlign w:val="center"/>
          </w:tcPr>
          <w:p w:rsidR="00C937FB" w:rsidRDefault="00C937FB" w:rsidP="00FC1B6B">
            <w:pPr>
              <w:spacing w:after="0" w:line="240" w:lineRule="auto"/>
              <w:jc w:val="center"/>
              <w:rPr>
                <w:rFonts w:cs="Calibri"/>
                <w:bCs/>
                <w:color w:val="000000"/>
              </w:rPr>
            </w:pPr>
          </w:p>
        </w:tc>
      </w:tr>
    </w:tbl>
    <w:p w:rsidR="00C937FB" w:rsidRDefault="00C937FB" w:rsidP="00C937FB">
      <w:pPr>
        <w:rPr>
          <w:b/>
          <w:sz w:val="16"/>
          <w:szCs w:val="16"/>
        </w:rPr>
      </w:pPr>
      <w:r>
        <w:rPr>
          <w:b/>
          <w:sz w:val="10"/>
          <w:szCs w:val="16"/>
        </w:rPr>
        <w:t xml:space="preserve">       </w:t>
      </w: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rPr>
          <w:b/>
          <w:sz w:val="16"/>
          <w:szCs w:val="16"/>
        </w:rPr>
      </w:pPr>
    </w:p>
    <w:p w:rsidR="00C937FB" w:rsidRDefault="00C937FB" w:rsidP="00C937FB">
      <w:pPr>
        <w:rPr>
          <w:b/>
          <w:sz w:val="16"/>
          <w:szCs w:val="16"/>
        </w:rPr>
      </w:pPr>
    </w:p>
    <w:p w:rsidR="00C937FB" w:rsidRDefault="00C937FB" w:rsidP="00C937FB">
      <w:pPr>
        <w:jc w:val="both"/>
        <w:rPr>
          <w:sz w:val="24"/>
          <w:szCs w:val="24"/>
        </w:rPr>
      </w:pPr>
      <w:r>
        <w:rPr>
          <w:sz w:val="24"/>
          <w:szCs w:val="24"/>
        </w:rPr>
        <w:t>Temmuz 2011’den Temmuz 2012’ye sigortalı ücretli (4/a) kadın çalışan sayısı değişiminde Konya, yüzde 11,6’lık artış ile 81 il arasında 25. sırada, kadınların en çok istihdam edildiği ilk 15 il arasında ise 5. sıradadır.</w:t>
      </w:r>
    </w:p>
    <w:p w:rsidR="00C937FB" w:rsidRDefault="00C937FB" w:rsidP="00C937FB">
      <w:pPr>
        <w:jc w:val="both"/>
        <w:rPr>
          <w:sz w:val="24"/>
        </w:rPr>
      </w:pPr>
      <w:r>
        <w:rPr>
          <w:sz w:val="24"/>
          <w:szCs w:val="24"/>
        </w:rPr>
        <w:t xml:space="preserve">Ekim 2008’de 100 olan sigortalı ücretli (4/a) kadın çalışan sayısı endeks değeri Temmuz 2012’de Konya’da 156,9’a yükselirken Türkiye geneli endeks 140,2 değerini almıştır. </w:t>
      </w:r>
    </w:p>
    <w:p w:rsidR="00C937FB" w:rsidRDefault="00C937FB" w:rsidP="00C937FB">
      <w:pPr>
        <w:pStyle w:val="Balk2"/>
        <w:spacing w:before="0"/>
        <w:rPr>
          <w:rFonts w:asciiTheme="minorHAnsi" w:hAnsiTheme="minorHAnsi"/>
          <w:sz w:val="24"/>
        </w:rPr>
      </w:pPr>
      <w:r w:rsidRPr="00933DB3">
        <w:rPr>
          <w:rFonts w:asciiTheme="minorHAnsi" w:hAnsiTheme="minorHAnsi"/>
          <w:sz w:val="24"/>
        </w:rPr>
        <w:t xml:space="preserve">Şekil </w:t>
      </w:r>
      <w:r>
        <w:rPr>
          <w:rFonts w:asciiTheme="minorHAnsi" w:hAnsiTheme="minorHAnsi"/>
          <w:sz w:val="24"/>
        </w:rPr>
        <w:t>3</w:t>
      </w:r>
      <w:r w:rsidRPr="00933DB3">
        <w:rPr>
          <w:rFonts w:asciiTheme="minorHAnsi" w:hAnsiTheme="minorHAnsi"/>
          <w:sz w:val="24"/>
        </w:rPr>
        <w:t>. Aylara</w:t>
      </w:r>
      <w:r w:rsidRPr="00A6496C">
        <w:rPr>
          <w:rFonts w:asciiTheme="minorHAnsi" w:hAnsiTheme="minorHAnsi"/>
          <w:sz w:val="24"/>
        </w:rPr>
        <w:t xml:space="preserve"> Göre Sigortalı </w:t>
      </w:r>
      <w:r>
        <w:rPr>
          <w:rFonts w:asciiTheme="minorHAnsi" w:hAnsiTheme="minorHAnsi"/>
          <w:sz w:val="24"/>
        </w:rPr>
        <w:t xml:space="preserve">Ücretli (4/a) Kadın </w:t>
      </w:r>
      <w:r w:rsidRPr="00A6496C">
        <w:rPr>
          <w:rFonts w:asciiTheme="minorHAnsi" w:hAnsiTheme="minorHAnsi"/>
          <w:sz w:val="24"/>
        </w:rPr>
        <w:t>Çalışan Sayısı (</w:t>
      </w:r>
      <w:r>
        <w:rPr>
          <w:rFonts w:asciiTheme="minorHAnsi" w:hAnsiTheme="minorHAnsi"/>
          <w:sz w:val="24"/>
        </w:rPr>
        <w:t>Ekim</w:t>
      </w:r>
      <w:r w:rsidRPr="00A6496C">
        <w:rPr>
          <w:rFonts w:asciiTheme="minorHAnsi" w:hAnsiTheme="minorHAnsi"/>
          <w:sz w:val="24"/>
        </w:rPr>
        <w:t xml:space="preserve"> 2008=100 olarak endekslenmiştir)</w:t>
      </w:r>
      <w:bookmarkEnd w:id="3"/>
      <w:r>
        <w:rPr>
          <w:rFonts w:asciiTheme="minorHAnsi" w:hAnsiTheme="minorHAnsi"/>
          <w:sz w:val="24"/>
        </w:rPr>
        <w:t xml:space="preserve"> (Mevsimsellikten arındırılmış seriler)</w:t>
      </w:r>
    </w:p>
    <w:p w:rsidR="00C937FB" w:rsidRPr="001D391A" w:rsidRDefault="00C937FB" w:rsidP="00C937FB">
      <w:pPr>
        <w:spacing w:after="0"/>
      </w:pPr>
      <w:r>
        <w:rPr>
          <w:noProof/>
          <w:lang w:eastAsia="tr-TR"/>
        </w:rPr>
        <w:drawing>
          <wp:inline distT="0" distB="0" distL="0" distR="0" wp14:anchorId="0B717C5E" wp14:editId="1BBCD960">
            <wp:extent cx="5760720" cy="2450419"/>
            <wp:effectExtent l="19050" t="0" r="11430" b="7031"/>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37FB" w:rsidRDefault="00C937FB" w:rsidP="00C937FB">
      <w:pPr>
        <w:spacing w:after="0"/>
        <w:jc w:val="right"/>
        <w:rPr>
          <w:sz w:val="24"/>
        </w:rPr>
      </w:pPr>
      <w:r w:rsidRPr="007A7AFD">
        <w:rPr>
          <w:b/>
          <w:sz w:val="18"/>
          <w:szCs w:val="16"/>
        </w:rPr>
        <w:t>Kaynak: Sosyal Güvenlik Kurumu (SGK), KTO</w:t>
      </w:r>
      <w:r>
        <w:rPr>
          <w:b/>
          <w:sz w:val="18"/>
          <w:szCs w:val="16"/>
        </w:rPr>
        <w:t xml:space="preserve"> Hesaplamaları</w:t>
      </w: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spacing w:after="0"/>
        <w:jc w:val="both"/>
        <w:rPr>
          <w:sz w:val="24"/>
        </w:rPr>
      </w:pPr>
    </w:p>
    <w:p w:rsidR="00C937FB" w:rsidRDefault="00C937FB" w:rsidP="00C937FB">
      <w:pPr>
        <w:pStyle w:val="Balk1"/>
        <w:spacing w:before="0" w:after="240"/>
        <w:rPr>
          <w:rFonts w:asciiTheme="minorHAnsi" w:hAnsiTheme="minorHAnsi"/>
        </w:rPr>
      </w:pPr>
      <w:r>
        <w:rPr>
          <w:rFonts w:asciiTheme="minorHAnsi" w:hAnsiTheme="minorHAnsi"/>
        </w:rPr>
        <w:lastRenderedPageBreak/>
        <w:t xml:space="preserve">Konya’da esnaf sayısı </w:t>
      </w:r>
      <w:r w:rsidR="00055B1C">
        <w:rPr>
          <w:rFonts w:asciiTheme="minorHAnsi" w:hAnsiTheme="minorHAnsi"/>
        </w:rPr>
        <w:t>geçen yıla göre yüzde 4,1 arttı</w:t>
      </w:r>
    </w:p>
    <w:p w:rsidR="00C937FB" w:rsidRDefault="00C937FB" w:rsidP="00C937FB">
      <w:pPr>
        <w:jc w:val="both"/>
        <w:rPr>
          <w:sz w:val="24"/>
          <w:szCs w:val="24"/>
        </w:rPr>
      </w:pPr>
      <w:r>
        <w:rPr>
          <w:sz w:val="24"/>
          <w:szCs w:val="24"/>
        </w:rPr>
        <w:t>SGK verilerine göre Temmuz 2012’de kendi hesabına çalışan kayıtlı esnaf (4/b) sayısı Türkiye genelinde 1 milyon 939 bin olurken Konya’da ise 56 bin olmuştur. Temmuz 2011’den Temmuz 2012’ye kayıtlı esnaf sayısı Türkiye’de yaklaşık 70 binden fazla (yüzde 3,8) artarken Konya’da 2 bin 219 (yüzde 4,1) artmıştır.</w:t>
      </w:r>
      <w:r w:rsidRPr="00C67A0B">
        <w:rPr>
          <w:sz w:val="24"/>
          <w:szCs w:val="24"/>
        </w:rPr>
        <w:t xml:space="preserve"> </w:t>
      </w:r>
      <w:r>
        <w:rPr>
          <w:sz w:val="24"/>
          <w:szCs w:val="24"/>
        </w:rPr>
        <w:t>Temmuz 2009’dan Temmuz 2012’ye Türkiye’deki kayıtlı esnaf sayısı yüzde 5,9 artarken,  Konya’da ise yüzde 2,1 artmıştır.</w:t>
      </w:r>
    </w:p>
    <w:p w:rsidR="00C937FB" w:rsidRDefault="00C937FB" w:rsidP="00C937FB">
      <w:pPr>
        <w:jc w:val="both"/>
        <w:rPr>
          <w:sz w:val="24"/>
        </w:rPr>
      </w:pPr>
      <w:r>
        <w:rPr>
          <w:sz w:val="24"/>
          <w:szCs w:val="24"/>
        </w:rPr>
        <w:t>Mevsimsellikten arındırılmış serilerde ise son 1 ayda kayıtlı esnaf sayısı Konya’da yüzde 0,1 azalırken, Türkiye genelindeki ise yüzde 0,5 artmıştır.</w:t>
      </w:r>
    </w:p>
    <w:p w:rsidR="00C937FB" w:rsidRPr="00F5336E" w:rsidRDefault="00C937FB" w:rsidP="00C937FB">
      <w:pPr>
        <w:pStyle w:val="Balk2"/>
        <w:rPr>
          <w:rFonts w:asciiTheme="minorHAnsi" w:hAnsiTheme="minorHAnsi"/>
          <w:sz w:val="24"/>
        </w:rPr>
      </w:pPr>
      <w:r w:rsidRPr="00F5336E">
        <w:rPr>
          <w:rFonts w:asciiTheme="minorHAnsi" w:hAnsiTheme="minorHAnsi"/>
          <w:sz w:val="24"/>
        </w:rPr>
        <w:t xml:space="preserve">Tablo </w:t>
      </w:r>
      <w:r>
        <w:rPr>
          <w:rFonts w:asciiTheme="minorHAnsi" w:hAnsiTheme="minorHAnsi"/>
          <w:sz w:val="24"/>
        </w:rPr>
        <w:t>4</w:t>
      </w:r>
      <w:r w:rsidRPr="00F5336E">
        <w:rPr>
          <w:rFonts w:asciiTheme="minorHAnsi" w:hAnsiTheme="minorHAnsi"/>
          <w:sz w:val="24"/>
        </w:rPr>
        <w:t xml:space="preserve">. </w:t>
      </w:r>
      <w:r>
        <w:rPr>
          <w:rFonts w:asciiTheme="minorHAnsi" w:hAnsiTheme="minorHAnsi"/>
          <w:sz w:val="24"/>
        </w:rPr>
        <w:t xml:space="preserve">Kayıtlı Esnaf (Kendi Hesabına Çalışan) (4/b) </w:t>
      </w:r>
      <w:r w:rsidRPr="00A6496C">
        <w:rPr>
          <w:rFonts w:asciiTheme="minorHAnsi" w:hAnsiTheme="minorHAnsi"/>
          <w:sz w:val="24"/>
        </w:rPr>
        <w:t>Sayısı</w:t>
      </w:r>
      <w:r w:rsidRPr="00F5336E">
        <w:rPr>
          <w:rFonts w:asciiTheme="minorHAnsi" w:hAnsiTheme="minorHAnsi"/>
          <w:sz w:val="24"/>
        </w:rPr>
        <w:t xml:space="preserve"> (</w:t>
      </w:r>
      <w:r>
        <w:rPr>
          <w:rFonts w:asciiTheme="minorHAnsi" w:hAnsiTheme="minorHAnsi"/>
          <w:sz w:val="24"/>
        </w:rPr>
        <w:t>Temmuz, 2009-2012; Haziran-Temmuz 2012</w:t>
      </w:r>
      <w:r w:rsidRPr="00F5336E">
        <w:rPr>
          <w:rFonts w:asciiTheme="minorHAnsi" w:hAnsiTheme="minorHAnsi"/>
          <w:sz w:val="24"/>
        </w:rPr>
        <w:t>)</w:t>
      </w:r>
    </w:p>
    <w:tbl>
      <w:tblPr>
        <w:tblW w:w="6029" w:type="dxa"/>
        <w:jc w:val="center"/>
        <w:tblInd w:w="-61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589"/>
        <w:gridCol w:w="1220"/>
        <w:gridCol w:w="1220"/>
      </w:tblGrid>
      <w:tr w:rsidR="00C937FB" w:rsidRPr="005E0FA6" w:rsidTr="00FC1B6B">
        <w:trPr>
          <w:trHeight w:val="713"/>
          <w:jc w:val="center"/>
        </w:trPr>
        <w:tc>
          <w:tcPr>
            <w:tcW w:w="3589" w:type="dxa"/>
            <w:tcBorders>
              <w:top w:val="single" w:sz="8" w:space="0" w:color="FFFFFF"/>
              <w:bottom w:val="single" w:sz="24" w:space="0" w:color="FFFFFF"/>
              <w:right w:val="single" w:sz="8" w:space="0" w:color="FFFFFF"/>
            </w:tcBorders>
            <w:shd w:val="clear" w:color="auto" w:fill="4F81BD"/>
            <w:noWrap/>
          </w:tcPr>
          <w:p w:rsidR="00C937FB" w:rsidRPr="005E0FA6" w:rsidRDefault="00C937FB" w:rsidP="00FC1B6B">
            <w:pPr>
              <w:spacing w:after="0" w:line="240" w:lineRule="auto"/>
              <w:ind w:left="-690"/>
              <w:rPr>
                <w:rFonts w:cs="Calibri"/>
                <w:b/>
                <w:bCs/>
                <w:color w:val="000000"/>
                <w:sz w:val="20"/>
              </w:rPr>
            </w:pPr>
          </w:p>
        </w:tc>
        <w:tc>
          <w:tcPr>
            <w:tcW w:w="1220" w:type="dxa"/>
            <w:tcBorders>
              <w:top w:val="single" w:sz="8" w:space="0" w:color="FFFFFF"/>
              <w:bottom w:val="single" w:sz="24" w:space="0" w:color="FFFFFF"/>
            </w:tcBorders>
            <w:shd w:val="clear" w:color="auto" w:fill="4F81BD"/>
            <w:vAlign w:val="center"/>
          </w:tcPr>
          <w:p w:rsidR="00C937FB" w:rsidRPr="005E0FA6" w:rsidRDefault="00C937FB" w:rsidP="00FC1B6B">
            <w:pPr>
              <w:spacing w:after="0" w:line="240" w:lineRule="auto"/>
              <w:jc w:val="center"/>
              <w:rPr>
                <w:rFonts w:cs="Calibri"/>
                <w:b/>
                <w:bCs/>
                <w:color w:val="000000"/>
              </w:rPr>
            </w:pPr>
            <w:r>
              <w:rPr>
                <w:rFonts w:cs="Calibri"/>
                <w:b/>
                <w:bCs/>
                <w:color w:val="000000"/>
              </w:rPr>
              <w:t>Konya (</w:t>
            </w:r>
            <w:r w:rsidRPr="005E0FA6">
              <w:rPr>
                <w:rFonts w:cs="Calibri"/>
                <w:b/>
                <w:bCs/>
                <w:color w:val="000000"/>
              </w:rPr>
              <w:t>4/</w:t>
            </w:r>
            <w:r>
              <w:rPr>
                <w:rFonts w:cs="Calibri"/>
                <w:b/>
                <w:bCs/>
                <w:color w:val="000000"/>
              </w:rPr>
              <w:t>b) Esnaf</w:t>
            </w:r>
          </w:p>
        </w:tc>
        <w:tc>
          <w:tcPr>
            <w:tcW w:w="1220" w:type="dxa"/>
            <w:tcBorders>
              <w:top w:val="single" w:sz="8" w:space="0" w:color="FFFFFF"/>
              <w:left w:val="single" w:sz="8" w:space="0" w:color="FFFFFF"/>
              <w:bottom w:val="single" w:sz="24" w:space="0" w:color="FFFFFF"/>
              <w:right w:val="single" w:sz="8" w:space="0" w:color="FFFFFF"/>
            </w:tcBorders>
            <w:shd w:val="clear" w:color="auto" w:fill="4F81BD"/>
            <w:noWrap/>
            <w:vAlign w:val="center"/>
          </w:tcPr>
          <w:p w:rsidR="00C937FB" w:rsidRPr="005E0FA6" w:rsidRDefault="00C937FB" w:rsidP="00FC1B6B">
            <w:pPr>
              <w:spacing w:after="0" w:line="240" w:lineRule="auto"/>
              <w:jc w:val="center"/>
              <w:rPr>
                <w:rFonts w:cs="Calibri"/>
                <w:b/>
                <w:bCs/>
                <w:color w:val="000000"/>
              </w:rPr>
            </w:pPr>
            <w:r>
              <w:rPr>
                <w:rFonts w:cs="Calibri"/>
                <w:b/>
                <w:bCs/>
                <w:color w:val="000000"/>
              </w:rPr>
              <w:t>Türkiye (4/b) Esnaf</w:t>
            </w:r>
          </w:p>
        </w:tc>
      </w:tr>
      <w:tr w:rsidR="00C937FB" w:rsidRPr="005E0FA6" w:rsidTr="00FC1B6B">
        <w:trPr>
          <w:trHeight w:val="268"/>
          <w:jc w:val="center"/>
        </w:trPr>
        <w:tc>
          <w:tcPr>
            <w:tcW w:w="3589"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 xml:space="preserve">Temmuz </w:t>
            </w:r>
            <w:r w:rsidRPr="005E0FA6">
              <w:rPr>
                <w:rFonts w:cs="Calibri"/>
                <w:b/>
                <w:bCs/>
                <w:color w:val="000000"/>
              </w:rPr>
              <w:t>200</w:t>
            </w:r>
            <w:r>
              <w:rPr>
                <w:rFonts w:cs="Calibri"/>
                <w:b/>
                <w:bCs/>
                <w:color w:val="000000"/>
              </w:rPr>
              <w:t>9</w:t>
            </w:r>
          </w:p>
        </w:tc>
        <w:tc>
          <w:tcPr>
            <w:tcW w:w="1220" w:type="dxa"/>
            <w:tcBorders>
              <w:top w:val="single" w:sz="8" w:space="0" w:color="FFFFFF"/>
              <w:bottom w:val="single" w:sz="8" w:space="0" w:color="FFFFFF"/>
            </w:tcBorders>
            <w:shd w:val="clear" w:color="auto" w:fill="A7BFDE"/>
            <w:vAlign w:val="center"/>
          </w:tcPr>
          <w:p w:rsidR="00C937FB" w:rsidRPr="00164183" w:rsidRDefault="00C937FB" w:rsidP="00FC1B6B">
            <w:pPr>
              <w:spacing w:after="0" w:line="240" w:lineRule="auto"/>
              <w:jc w:val="center"/>
              <w:rPr>
                <w:rFonts w:cs="Calibri"/>
                <w:bCs/>
                <w:color w:val="000000"/>
              </w:rPr>
            </w:pPr>
            <w:r>
              <w:rPr>
                <w:rFonts w:cs="Calibri"/>
                <w:bCs/>
                <w:color w:val="000000"/>
              </w:rPr>
              <w:t>55.063</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1.830.370</w:t>
            </w:r>
          </w:p>
        </w:tc>
      </w:tr>
      <w:tr w:rsidR="00C937FB" w:rsidRPr="005E0FA6" w:rsidTr="00FC1B6B">
        <w:trPr>
          <w:trHeight w:val="268"/>
          <w:jc w:val="center"/>
        </w:trPr>
        <w:tc>
          <w:tcPr>
            <w:tcW w:w="3589" w:type="dxa"/>
            <w:tcBorders>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w:t>
            </w:r>
            <w:r>
              <w:rPr>
                <w:rFonts w:cs="Calibri"/>
                <w:b/>
                <w:bCs/>
                <w:color w:val="000000"/>
              </w:rPr>
              <w:t>10</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57.346</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1.859.828</w:t>
            </w:r>
          </w:p>
        </w:tc>
      </w:tr>
      <w:tr w:rsidR="00C937FB" w:rsidRPr="005E0FA6" w:rsidTr="00FC1B6B">
        <w:trPr>
          <w:trHeight w:val="268"/>
          <w:jc w:val="center"/>
        </w:trPr>
        <w:tc>
          <w:tcPr>
            <w:tcW w:w="3589"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1</w:t>
            </w:r>
          </w:p>
        </w:tc>
        <w:tc>
          <w:tcPr>
            <w:tcW w:w="1220" w:type="dxa"/>
            <w:tcBorders>
              <w:top w:val="single" w:sz="8" w:space="0" w:color="FFFFFF"/>
              <w:bottom w:val="single" w:sz="8" w:space="0" w:color="FFFFFF"/>
            </w:tcBorders>
            <w:shd w:val="clear" w:color="auto" w:fill="A7BFDE"/>
            <w:vAlign w:val="center"/>
          </w:tcPr>
          <w:p w:rsidR="00C937FB" w:rsidRPr="00164183" w:rsidRDefault="00C937FB" w:rsidP="00FC1B6B">
            <w:pPr>
              <w:spacing w:after="0" w:line="240" w:lineRule="auto"/>
              <w:jc w:val="center"/>
              <w:rPr>
                <w:rFonts w:cs="Calibri"/>
                <w:bCs/>
                <w:color w:val="000000"/>
              </w:rPr>
            </w:pPr>
            <w:r>
              <w:rPr>
                <w:rFonts w:cs="Calibri"/>
                <w:bCs/>
                <w:color w:val="000000"/>
              </w:rPr>
              <w:t>53.984</w:t>
            </w:r>
          </w:p>
        </w:tc>
        <w:tc>
          <w:tcPr>
            <w:tcW w:w="122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1.868.398</w:t>
            </w: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2</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56.203</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1.938.997</w:t>
            </w:r>
          </w:p>
        </w:tc>
      </w:tr>
      <w:tr w:rsidR="00C937FB" w:rsidRPr="005E0FA6" w:rsidTr="00FC1B6B">
        <w:trPr>
          <w:trHeight w:val="268"/>
          <w:jc w:val="center"/>
        </w:trPr>
        <w:tc>
          <w:tcPr>
            <w:tcW w:w="6029" w:type="dxa"/>
            <w:gridSpan w:val="3"/>
            <w:shd w:val="clear" w:color="auto" w:fill="4F81BD"/>
            <w:noWrap/>
            <w:vAlign w:val="center"/>
          </w:tcPr>
          <w:p w:rsidR="00C937FB" w:rsidRPr="00A739DC"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11</w:t>
            </w:r>
            <w:r w:rsidRPr="005E0FA6">
              <w:rPr>
                <w:rFonts w:cs="Calibri"/>
                <w:b/>
                <w:bCs/>
                <w:color w:val="000000"/>
              </w:rPr>
              <w:t xml:space="preserve"> (Fark)</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2.219</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70.559</w:t>
            </w: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Temmuz 11</w:t>
            </w:r>
            <w:r w:rsidRPr="005E0FA6">
              <w:rPr>
                <w:rFonts w:cs="Calibri"/>
                <w:b/>
                <w:bCs/>
                <w:color w:val="000000"/>
              </w:rPr>
              <w:t xml:space="preserve"> (Artış, %)</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4,1</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3,8</w:t>
            </w: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11 - Temmuz 10</w:t>
            </w:r>
            <w:r w:rsidRPr="005E0FA6">
              <w:rPr>
                <w:rFonts w:cs="Calibri"/>
                <w:b/>
                <w:bCs/>
                <w:color w:val="000000"/>
              </w:rPr>
              <w:t xml:space="preserve"> (Artış, %)</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-5,9</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0,5</w:t>
            </w: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10 - Temmuz 09</w:t>
            </w:r>
            <w:r w:rsidRPr="005E0FA6">
              <w:rPr>
                <w:rFonts w:cs="Calibri"/>
                <w:b/>
                <w:bCs/>
                <w:color w:val="000000"/>
              </w:rPr>
              <w:t xml:space="preserve"> (Artış, %)</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4,1</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1,6</w:t>
            </w: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09</w:t>
            </w:r>
            <w:r w:rsidRPr="005E0FA6">
              <w:rPr>
                <w:rFonts w:cs="Calibri"/>
                <w:b/>
                <w:bCs/>
                <w:color w:val="000000"/>
              </w:rPr>
              <w:t xml:space="preserve"> (Artış, %)</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2,1</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5,9</w:t>
            </w:r>
          </w:p>
        </w:tc>
      </w:tr>
      <w:tr w:rsidR="00C937FB" w:rsidRPr="005E0FA6" w:rsidTr="00FC1B6B">
        <w:trPr>
          <w:trHeight w:val="268"/>
          <w:jc w:val="center"/>
        </w:trPr>
        <w:tc>
          <w:tcPr>
            <w:tcW w:w="6029" w:type="dxa"/>
            <w:gridSpan w:val="3"/>
            <w:shd w:val="clear" w:color="auto" w:fill="4F81BD"/>
            <w:noWrap/>
            <w:vAlign w:val="center"/>
          </w:tcPr>
          <w:p w:rsidR="00C937FB" w:rsidRPr="00837A6A" w:rsidRDefault="00C937FB" w:rsidP="00FC1B6B">
            <w:pPr>
              <w:spacing w:after="0" w:line="240" w:lineRule="auto"/>
              <w:jc w:val="center"/>
              <w:rPr>
                <w:rFonts w:cs="Calibri"/>
                <w:bCs/>
                <w:color w:val="000000"/>
              </w:rPr>
            </w:pPr>
          </w:p>
        </w:tc>
      </w:tr>
      <w:tr w:rsidR="00C937FB" w:rsidRPr="00500436" w:rsidTr="00FC1B6B">
        <w:trPr>
          <w:trHeight w:val="268"/>
          <w:jc w:val="center"/>
        </w:trPr>
        <w:tc>
          <w:tcPr>
            <w:tcW w:w="3589"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Haziran 2012*</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55.552</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1.926.789</w:t>
            </w:r>
          </w:p>
        </w:tc>
      </w:tr>
      <w:tr w:rsidR="00C937FB" w:rsidRPr="00500436" w:rsidTr="00FC1B6B">
        <w:trPr>
          <w:trHeight w:val="268"/>
          <w:jc w:val="center"/>
        </w:trPr>
        <w:tc>
          <w:tcPr>
            <w:tcW w:w="3589"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Temmuz 2012*</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55.497</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1.936.371</w:t>
            </w: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Haziran 12</w:t>
            </w:r>
            <w:r w:rsidRPr="005E0FA6">
              <w:rPr>
                <w:rFonts w:cs="Calibri"/>
                <w:b/>
                <w:bCs/>
                <w:color w:val="000000"/>
              </w:rPr>
              <w:t xml:space="preserve"> (Fark)</w:t>
            </w:r>
            <w:r>
              <w:rPr>
                <w:rFonts w:cs="Calibri"/>
                <w:b/>
                <w:bCs/>
                <w:color w:val="000000"/>
              </w:rPr>
              <w:t>*</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-55</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9.582</w:t>
            </w:r>
          </w:p>
        </w:tc>
      </w:tr>
      <w:tr w:rsidR="00C937FB" w:rsidRPr="005E0FA6" w:rsidTr="00FC1B6B">
        <w:trPr>
          <w:trHeight w:val="268"/>
          <w:jc w:val="center"/>
        </w:trPr>
        <w:tc>
          <w:tcPr>
            <w:tcW w:w="3589"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Haziran 12</w:t>
            </w:r>
            <w:r w:rsidRPr="005E0FA6">
              <w:rPr>
                <w:rFonts w:cs="Calibri"/>
                <w:b/>
                <w:bCs/>
                <w:color w:val="000000"/>
              </w:rPr>
              <w:t xml:space="preserve"> (Artış, %)</w:t>
            </w:r>
            <w:r>
              <w:rPr>
                <w:rFonts w:cs="Calibri"/>
                <w:b/>
                <w:bCs/>
                <w:color w:val="000000"/>
              </w:rPr>
              <w:t>*</w:t>
            </w:r>
          </w:p>
        </w:tc>
        <w:tc>
          <w:tcPr>
            <w:tcW w:w="1220" w:type="dxa"/>
            <w:shd w:val="clear" w:color="auto" w:fill="D3DFEE"/>
            <w:vAlign w:val="center"/>
          </w:tcPr>
          <w:p w:rsidR="00C937FB" w:rsidRPr="00164183" w:rsidRDefault="00C937FB" w:rsidP="00FC1B6B">
            <w:pPr>
              <w:spacing w:after="0" w:line="240" w:lineRule="auto"/>
              <w:jc w:val="center"/>
              <w:rPr>
                <w:rFonts w:cs="Calibri"/>
                <w:bCs/>
                <w:color w:val="000000"/>
              </w:rPr>
            </w:pPr>
            <w:r>
              <w:rPr>
                <w:rFonts w:cs="Calibri"/>
                <w:bCs/>
                <w:color w:val="000000"/>
              </w:rPr>
              <w:t>-0,1</w:t>
            </w:r>
          </w:p>
        </w:tc>
        <w:tc>
          <w:tcPr>
            <w:tcW w:w="1220" w:type="dxa"/>
            <w:shd w:val="clear" w:color="auto" w:fill="D3DFEE"/>
            <w:noWrap/>
            <w:vAlign w:val="center"/>
          </w:tcPr>
          <w:p w:rsidR="00C937FB" w:rsidRPr="00164183" w:rsidRDefault="00C937FB" w:rsidP="00FC1B6B">
            <w:pPr>
              <w:spacing w:after="0" w:line="240" w:lineRule="auto"/>
              <w:jc w:val="center"/>
              <w:rPr>
                <w:rFonts w:cs="Calibri"/>
                <w:bCs/>
                <w:color w:val="000000"/>
              </w:rPr>
            </w:pPr>
            <w:r>
              <w:rPr>
                <w:rFonts w:cs="Calibri"/>
                <w:bCs/>
                <w:color w:val="000000"/>
              </w:rPr>
              <w:t>0,5</w:t>
            </w:r>
          </w:p>
        </w:tc>
      </w:tr>
    </w:tbl>
    <w:p w:rsidR="00C937FB" w:rsidRDefault="00C937FB" w:rsidP="00C937FB">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99569A" w:rsidRDefault="0099569A" w:rsidP="00C937FB">
      <w:pPr>
        <w:jc w:val="both"/>
        <w:rPr>
          <w:sz w:val="24"/>
          <w:szCs w:val="24"/>
        </w:rPr>
      </w:pPr>
    </w:p>
    <w:p w:rsidR="00C937FB" w:rsidRDefault="00C937FB" w:rsidP="00C937FB">
      <w:pPr>
        <w:jc w:val="both"/>
        <w:rPr>
          <w:sz w:val="24"/>
          <w:szCs w:val="24"/>
        </w:rPr>
      </w:pPr>
      <w:r>
        <w:rPr>
          <w:sz w:val="24"/>
          <w:szCs w:val="24"/>
        </w:rPr>
        <w:lastRenderedPageBreak/>
        <w:t xml:space="preserve">Konya, kendi hesabına çalışan kayıtlı esnaf sayısı en fazla olan iller arasında 6. sıradadır. Konya, 3 büyük şehrin yanı sıra Antalya ve Bursa’nın arkasında yer almaktadır. Konya’yı Mersin, Adana ve Gaziantep takip etmektedir. </w:t>
      </w:r>
    </w:p>
    <w:p w:rsidR="00C937FB" w:rsidRDefault="00C937FB" w:rsidP="00C937FB">
      <w:pPr>
        <w:jc w:val="both"/>
        <w:rPr>
          <w:sz w:val="24"/>
          <w:szCs w:val="24"/>
        </w:rPr>
      </w:pPr>
      <w:r>
        <w:rPr>
          <w:sz w:val="24"/>
          <w:szCs w:val="24"/>
        </w:rPr>
        <w:t xml:space="preserve">Temmuz 2011’den Temmuz 2012’ye kendi hesabına çalışan kayıtlı esnaf sayısı değişiminde Konya, yüzde 4,1’lik artış ile 81 il arasında 17. sırada, esnaf sayısının en fazla olduğu ilk 15 il arasında ise Konya, 6. sırada gelmektedir. </w:t>
      </w:r>
    </w:p>
    <w:p w:rsidR="00C937FB" w:rsidRPr="00F06F92" w:rsidRDefault="00C937FB" w:rsidP="00C937FB">
      <w:pPr>
        <w:jc w:val="both"/>
        <w:rPr>
          <w:sz w:val="24"/>
          <w:szCs w:val="24"/>
        </w:rPr>
      </w:pPr>
      <w:r>
        <w:rPr>
          <w:sz w:val="24"/>
          <w:szCs w:val="24"/>
        </w:rPr>
        <w:t>Türkiye ve Konya’daki kendi hesabına çalışan kayıtlı esnaf sayısı Ekim 2008’de 100 kabul edildiğinde, söz konusu değer, Temmuz 2012’de, Türkiye için 100,7 olurken Konya içinse 95,4 olmuştur. Konya’nın endeks değeri Şubat 2011’den bu yana Türkiye endeks değerinin altındadır.</w:t>
      </w:r>
    </w:p>
    <w:p w:rsidR="00C937FB" w:rsidRDefault="00C937FB" w:rsidP="00C937FB">
      <w:pPr>
        <w:pStyle w:val="Balk2"/>
        <w:rPr>
          <w:rFonts w:asciiTheme="minorHAnsi" w:hAnsiTheme="minorHAnsi"/>
          <w:sz w:val="24"/>
        </w:rPr>
      </w:pPr>
      <w:r w:rsidRPr="00A6496C">
        <w:rPr>
          <w:rFonts w:asciiTheme="minorHAnsi" w:hAnsiTheme="minorHAnsi"/>
          <w:sz w:val="24"/>
        </w:rPr>
        <w:t xml:space="preserve">Şekil </w:t>
      </w:r>
      <w:r>
        <w:rPr>
          <w:rFonts w:asciiTheme="minorHAnsi" w:hAnsiTheme="minorHAnsi"/>
          <w:sz w:val="24"/>
        </w:rPr>
        <w:t>4</w:t>
      </w:r>
      <w:r w:rsidRPr="00A6496C">
        <w:rPr>
          <w:rFonts w:asciiTheme="minorHAnsi" w:hAnsiTheme="minorHAnsi"/>
          <w:sz w:val="24"/>
        </w:rPr>
        <w:t xml:space="preserve">. Aylara Göre </w:t>
      </w:r>
      <w:r>
        <w:rPr>
          <w:rFonts w:asciiTheme="minorHAnsi" w:hAnsiTheme="minorHAnsi"/>
          <w:sz w:val="24"/>
        </w:rPr>
        <w:t xml:space="preserve">Kayıtlı Esnaf (Kendi Hesabına Çalışan) (4/b) </w:t>
      </w:r>
      <w:r w:rsidRPr="00A6496C">
        <w:rPr>
          <w:rFonts w:asciiTheme="minorHAnsi" w:hAnsiTheme="minorHAnsi"/>
          <w:sz w:val="24"/>
        </w:rPr>
        <w:t>Sayısı (</w:t>
      </w:r>
      <w:r>
        <w:rPr>
          <w:rFonts w:asciiTheme="minorHAnsi" w:hAnsiTheme="minorHAnsi"/>
          <w:sz w:val="24"/>
        </w:rPr>
        <w:t>Ekim</w:t>
      </w:r>
      <w:r w:rsidRPr="00A6496C">
        <w:rPr>
          <w:rFonts w:asciiTheme="minorHAnsi" w:hAnsiTheme="minorHAnsi"/>
          <w:sz w:val="24"/>
        </w:rPr>
        <w:t xml:space="preserve"> 2008=100 olarak endekslenmiştir)</w:t>
      </w:r>
      <w:r>
        <w:rPr>
          <w:rFonts w:asciiTheme="minorHAnsi" w:hAnsiTheme="minorHAnsi"/>
          <w:sz w:val="24"/>
        </w:rPr>
        <w:t xml:space="preserve"> (Mevsimsellikten arındırılmış seriler)</w:t>
      </w:r>
    </w:p>
    <w:p w:rsidR="00C937FB" w:rsidRPr="00FF03DC" w:rsidRDefault="00C937FB" w:rsidP="00C937FB">
      <w:pPr>
        <w:spacing w:after="0"/>
      </w:pPr>
      <w:r>
        <w:rPr>
          <w:noProof/>
          <w:lang w:eastAsia="tr-TR"/>
        </w:rPr>
        <w:drawing>
          <wp:inline distT="0" distB="0" distL="0" distR="0" wp14:anchorId="2EDC65F5" wp14:editId="5840212C">
            <wp:extent cx="5762847" cy="2509283"/>
            <wp:effectExtent l="0" t="0" r="0" b="5715"/>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37FB" w:rsidRPr="007A7AFD" w:rsidRDefault="00C937FB" w:rsidP="00C937FB">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pStyle w:val="Balk1"/>
        <w:spacing w:before="0"/>
        <w:rPr>
          <w:rFonts w:asciiTheme="minorHAnsi" w:hAnsiTheme="minorHAnsi"/>
        </w:rPr>
      </w:pPr>
    </w:p>
    <w:p w:rsidR="00C937FB" w:rsidRDefault="00C937FB" w:rsidP="00C937FB"/>
    <w:p w:rsidR="00C937FB" w:rsidRDefault="00C937FB" w:rsidP="00C937FB">
      <w:pPr>
        <w:pStyle w:val="Balk1"/>
        <w:spacing w:before="0" w:after="240"/>
        <w:rPr>
          <w:rFonts w:asciiTheme="minorHAnsi" w:hAnsiTheme="minorHAnsi"/>
        </w:rPr>
      </w:pPr>
    </w:p>
    <w:p w:rsidR="00C937FB" w:rsidRDefault="00C937FB" w:rsidP="00C937FB">
      <w:pPr>
        <w:pStyle w:val="Balk1"/>
        <w:spacing w:before="0"/>
        <w:rPr>
          <w:rFonts w:asciiTheme="minorHAnsi" w:hAnsiTheme="minorHAnsi"/>
        </w:rPr>
      </w:pPr>
    </w:p>
    <w:p w:rsidR="00C937FB" w:rsidRDefault="00C937FB" w:rsidP="00C937FB">
      <w:pPr>
        <w:pStyle w:val="Balk1"/>
        <w:spacing w:before="0"/>
        <w:rPr>
          <w:rFonts w:asciiTheme="minorHAnsi" w:hAnsiTheme="minorHAnsi"/>
        </w:rPr>
      </w:pPr>
    </w:p>
    <w:p w:rsidR="00C937FB" w:rsidRDefault="00C937FB" w:rsidP="00C937FB">
      <w:pPr>
        <w:pStyle w:val="Balk1"/>
        <w:spacing w:before="0"/>
        <w:rPr>
          <w:rFonts w:asciiTheme="minorHAnsi" w:hAnsiTheme="minorHAnsi"/>
        </w:rPr>
      </w:pPr>
    </w:p>
    <w:p w:rsidR="00C937FB" w:rsidRDefault="00C937FB" w:rsidP="00C937FB"/>
    <w:p w:rsidR="00C937FB" w:rsidRPr="00B90074" w:rsidRDefault="00C937FB" w:rsidP="00C937FB"/>
    <w:p w:rsidR="00C937FB" w:rsidRPr="00B90074" w:rsidRDefault="00C937FB" w:rsidP="00C937FB"/>
    <w:p w:rsidR="00C937FB" w:rsidRDefault="00C937FB" w:rsidP="00C937FB">
      <w:pPr>
        <w:pStyle w:val="Balk1"/>
        <w:spacing w:before="0" w:after="240"/>
        <w:rPr>
          <w:rFonts w:asciiTheme="minorHAnsi" w:hAnsiTheme="minorHAnsi"/>
        </w:rPr>
      </w:pPr>
      <w:r>
        <w:rPr>
          <w:rFonts w:asciiTheme="minorHAnsi" w:hAnsiTheme="minorHAnsi"/>
        </w:rPr>
        <w:lastRenderedPageBreak/>
        <w:t>Konya’da kayıtlı çiftçi sayısı geçen yıla göre yüzde 4,6 azaldı</w:t>
      </w:r>
    </w:p>
    <w:p w:rsidR="00C937FB" w:rsidRPr="00551352" w:rsidRDefault="00C937FB" w:rsidP="00C937FB">
      <w:pPr>
        <w:jc w:val="both"/>
        <w:rPr>
          <w:sz w:val="24"/>
          <w:szCs w:val="24"/>
        </w:rPr>
      </w:pPr>
      <w:r w:rsidRPr="00551352">
        <w:rPr>
          <w:sz w:val="24"/>
          <w:szCs w:val="24"/>
        </w:rPr>
        <w:t xml:space="preserve">SGK verilerine göre </w:t>
      </w:r>
      <w:r>
        <w:rPr>
          <w:sz w:val="24"/>
          <w:szCs w:val="24"/>
        </w:rPr>
        <w:t>Temmuz</w:t>
      </w:r>
      <w:r w:rsidRPr="00551352">
        <w:rPr>
          <w:sz w:val="24"/>
          <w:szCs w:val="24"/>
        </w:rPr>
        <w:t xml:space="preserve"> 2012’de tarım kapsamında çalışan kayıtlı çiftçi </w:t>
      </w:r>
      <w:r>
        <w:rPr>
          <w:sz w:val="24"/>
          <w:szCs w:val="24"/>
        </w:rPr>
        <w:t xml:space="preserve">(4/b) </w:t>
      </w:r>
      <w:r w:rsidRPr="00551352">
        <w:rPr>
          <w:sz w:val="24"/>
          <w:szCs w:val="24"/>
        </w:rPr>
        <w:t>sayıs</w:t>
      </w:r>
      <w:r>
        <w:rPr>
          <w:sz w:val="24"/>
          <w:szCs w:val="24"/>
        </w:rPr>
        <w:t>ı Türkiye genelinde 1 milyon 104</w:t>
      </w:r>
      <w:r w:rsidRPr="00551352">
        <w:rPr>
          <w:sz w:val="24"/>
          <w:szCs w:val="24"/>
        </w:rPr>
        <w:t xml:space="preserve"> bin</w:t>
      </w:r>
      <w:r>
        <w:rPr>
          <w:sz w:val="24"/>
          <w:szCs w:val="24"/>
        </w:rPr>
        <w:t>i yaklaşırken</w:t>
      </w:r>
      <w:r w:rsidRPr="00551352">
        <w:rPr>
          <w:sz w:val="24"/>
          <w:szCs w:val="24"/>
        </w:rPr>
        <w:t xml:space="preserve"> Konya’da ise </w:t>
      </w:r>
      <w:r>
        <w:rPr>
          <w:sz w:val="24"/>
          <w:szCs w:val="24"/>
        </w:rPr>
        <w:t xml:space="preserve">yaklaşık </w:t>
      </w:r>
      <w:r w:rsidRPr="00551352">
        <w:rPr>
          <w:sz w:val="24"/>
          <w:szCs w:val="24"/>
        </w:rPr>
        <w:t>6</w:t>
      </w:r>
      <w:r>
        <w:rPr>
          <w:sz w:val="24"/>
          <w:szCs w:val="24"/>
        </w:rPr>
        <w:t>0</w:t>
      </w:r>
      <w:r w:rsidRPr="00551352">
        <w:rPr>
          <w:sz w:val="24"/>
          <w:szCs w:val="24"/>
        </w:rPr>
        <w:t xml:space="preserve"> bin olmuştur.</w:t>
      </w:r>
      <w:r>
        <w:rPr>
          <w:sz w:val="24"/>
          <w:szCs w:val="24"/>
        </w:rPr>
        <w:t xml:space="preserve"> Temmuz 2011’den Temmuz</w:t>
      </w:r>
      <w:r w:rsidRPr="00551352">
        <w:rPr>
          <w:sz w:val="24"/>
          <w:szCs w:val="24"/>
        </w:rPr>
        <w:t xml:space="preserve"> 2012’ye kay</w:t>
      </w:r>
      <w:r>
        <w:rPr>
          <w:sz w:val="24"/>
          <w:szCs w:val="24"/>
        </w:rPr>
        <w:t>ıtlı çiftçi sayısı Türkiye’de yaklaşık 81 bin kadar (yüzde 6,8</w:t>
      </w:r>
      <w:r w:rsidRPr="00551352">
        <w:rPr>
          <w:sz w:val="24"/>
          <w:szCs w:val="24"/>
        </w:rPr>
        <w:t xml:space="preserve">) azalırken Konya’da </w:t>
      </w:r>
      <w:r>
        <w:rPr>
          <w:sz w:val="24"/>
          <w:szCs w:val="24"/>
        </w:rPr>
        <w:t>2 bin 886 (yüzde 4,6</w:t>
      </w:r>
      <w:r w:rsidRPr="00551352">
        <w:rPr>
          <w:sz w:val="24"/>
          <w:szCs w:val="24"/>
        </w:rPr>
        <w:t xml:space="preserve">) </w:t>
      </w:r>
      <w:r>
        <w:rPr>
          <w:sz w:val="24"/>
          <w:szCs w:val="24"/>
        </w:rPr>
        <w:t>azalm</w:t>
      </w:r>
      <w:r w:rsidRPr="00551352">
        <w:rPr>
          <w:sz w:val="24"/>
          <w:szCs w:val="24"/>
        </w:rPr>
        <w:t xml:space="preserve">ıştır. </w:t>
      </w:r>
      <w:r>
        <w:rPr>
          <w:sz w:val="24"/>
          <w:szCs w:val="24"/>
        </w:rPr>
        <w:t xml:space="preserve">Temmuz </w:t>
      </w:r>
      <w:r w:rsidRPr="00551352">
        <w:rPr>
          <w:sz w:val="24"/>
          <w:szCs w:val="24"/>
        </w:rPr>
        <w:t xml:space="preserve">2009’dan </w:t>
      </w:r>
      <w:r>
        <w:rPr>
          <w:sz w:val="24"/>
          <w:szCs w:val="24"/>
        </w:rPr>
        <w:t>Temmuz</w:t>
      </w:r>
      <w:r w:rsidRPr="00551352">
        <w:rPr>
          <w:sz w:val="24"/>
          <w:szCs w:val="24"/>
        </w:rPr>
        <w:t xml:space="preserve"> 2012’ye Türkiye’de kayıtlı ç</w:t>
      </w:r>
      <w:r>
        <w:rPr>
          <w:sz w:val="24"/>
          <w:szCs w:val="24"/>
        </w:rPr>
        <w:t>iftçi sayısı yüzde 5,2</w:t>
      </w:r>
      <w:r w:rsidRPr="00551352">
        <w:rPr>
          <w:sz w:val="24"/>
          <w:szCs w:val="24"/>
        </w:rPr>
        <w:t xml:space="preserve"> </w:t>
      </w:r>
      <w:r>
        <w:rPr>
          <w:sz w:val="24"/>
          <w:szCs w:val="24"/>
        </w:rPr>
        <w:t>artarken Konya’da ise yüzde 3,6</w:t>
      </w:r>
      <w:r w:rsidRPr="00551352">
        <w:rPr>
          <w:sz w:val="24"/>
          <w:szCs w:val="24"/>
        </w:rPr>
        <w:t xml:space="preserve"> oranında artmıştır.</w:t>
      </w:r>
    </w:p>
    <w:p w:rsidR="00C937FB" w:rsidRDefault="00C937FB" w:rsidP="00C937FB">
      <w:pPr>
        <w:jc w:val="both"/>
      </w:pPr>
      <w:r w:rsidRPr="00551352">
        <w:rPr>
          <w:sz w:val="24"/>
          <w:szCs w:val="24"/>
        </w:rPr>
        <w:t>Mevsimsellikten arındırılmış serilerde ise son 1 ayda kayıtlı çiftçi sayısı</w:t>
      </w:r>
      <w:r>
        <w:rPr>
          <w:sz w:val="24"/>
          <w:szCs w:val="24"/>
        </w:rPr>
        <w:t xml:space="preserve"> Türkiye’de yüzde 0,1 artarken, Konya’da yüzde 0,3</w:t>
      </w:r>
      <w:r w:rsidRPr="00551352">
        <w:rPr>
          <w:sz w:val="24"/>
          <w:szCs w:val="24"/>
        </w:rPr>
        <w:t xml:space="preserve"> a</w:t>
      </w:r>
      <w:r>
        <w:rPr>
          <w:sz w:val="24"/>
          <w:szCs w:val="24"/>
        </w:rPr>
        <w:t>rt</w:t>
      </w:r>
      <w:r w:rsidRPr="00551352">
        <w:rPr>
          <w:sz w:val="24"/>
          <w:szCs w:val="24"/>
        </w:rPr>
        <w:t>mışt</w:t>
      </w:r>
      <w:r>
        <w:rPr>
          <w:sz w:val="24"/>
          <w:szCs w:val="24"/>
        </w:rPr>
        <w:t>ı</w:t>
      </w:r>
      <w:r w:rsidRPr="00551352">
        <w:rPr>
          <w:sz w:val="24"/>
          <w:szCs w:val="24"/>
        </w:rPr>
        <w:t>r.</w:t>
      </w:r>
    </w:p>
    <w:p w:rsidR="00C937FB" w:rsidRPr="00F5336E" w:rsidRDefault="00C937FB" w:rsidP="00C937FB">
      <w:pPr>
        <w:pStyle w:val="Balk2"/>
        <w:rPr>
          <w:rFonts w:asciiTheme="minorHAnsi" w:hAnsiTheme="minorHAnsi"/>
          <w:sz w:val="24"/>
        </w:rPr>
      </w:pPr>
      <w:r w:rsidRPr="00F5336E">
        <w:rPr>
          <w:rFonts w:asciiTheme="minorHAnsi" w:hAnsiTheme="minorHAnsi"/>
          <w:sz w:val="24"/>
        </w:rPr>
        <w:t xml:space="preserve">Tablo </w:t>
      </w:r>
      <w:r>
        <w:rPr>
          <w:rFonts w:asciiTheme="minorHAnsi" w:hAnsiTheme="minorHAnsi"/>
          <w:sz w:val="24"/>
        </w:rPr>
        <w:t>5</w:t>
      </w:r>
      <w:r w:rsidRPr="00F5336E">
        <w:rPr>
          <w:rFonts w:asciiTheme="minorHAnsi" w:hAnsiTheme="minorHAnsi"/>
          <w:sz w:val="24"/>
        </w:rPr>
        <w:t xml:space="preserve">. </w:t>
      </w:r>
      <w:r>
        <w:rPr>
          <w:rFonts w:asciiTheme="minorHAnsi" w:hAnsiTheme="minorHAnsi"/>
          <w:sz w:val="24"/>
        </w:rPr>
        <w:t xml:space="preserve">Kayıtlı Çiftçi (Tarım) (4/b) </w:t>
      </w:r>
      <w:r w:rsidRPr="00A6496C">
        <w:rPr>
          <w:rFonts w:asciiTheme="minorHAnsi" w:hAnsiTheme="minorHAnsi"/>
          <w:sz w:val="24"/>
        </w:rPr>
        <w:t>Sayısı</w:t>
      </w:r>
      <w:r w:rsidRPr="00F5336E">
        <w:rPr>
          <w:rFonts w:asciiTheme="minorHAnsi" w:hAnsiTheme="minorHAnsi"/>
          <w:sz w:val="24"/>
        </w:rPr>
        <w:t xml:space="preserve"> (</w:t>
      </w:r>
      <w:r>
        <w:rPr>
          <w:rFonts w:asciiTheme="minorHAnsi" w:hAnsiTheme="minorHAnsi"/>
          <w:sz w:val="24"/>
        </w:rPr>
        <w:t>Temmuz, 2009-2012; Haziran-Temmuz 2012</w:t>
      </w:r>
      <w:r w:rsidRPr="00F5336E">
        <w:rPr>
          <w:rFonts w:asciiTheme="minorHAnsi" w:hAnsiTheme="minorHAnsi"/>
          <w:sz w:val="24"/>
        </w:rPr>
        <w:t>)</w:t>
      </w:r>
    </w:p>
    <w:tbl>
      <w:tblPr>
        <w:tblW w:w="6064" w:type="dxa"/>
        <w:jc w:val="center"/>
        <w:tblInd w:w="-4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458"/>
        <w:gridCol w:w="1275"/>
        <w:gridCol w:w="1331"/>
      </w:tblGrid>
      <w:tr w:rsidR="00C937FB" w:rsidRPr="005E0FA6" w:rsidTr="00FC1B6B">
        <w:trPr>
          <w:trHeight w:val="713"/>
          <w:jc w:val="center"/>
        </w:trPr>
        <w:tc>
          <w:tcPr>
            <w:tcW w:w="3458" w:type="dxa"/>
            <w:tcBorders>
              <w:top w:val="single" w:sz="8" w:space="0" w:color="FFFFFF"/>
              <w:bottom w:val="single" w:sz="24" w:space="0" w:color="FFFFFF"/>
              <w:right w:val="single" w:sz="8" w:space="0" w:color="FFFFFF"/>
            </w:tcBorders>
            <w:shd w:val="clear" w:color="auto" w:fill="4F81BD"/>
            <w:noWrap/>
          </w:tcPr>
          <w:p w:rsidR="00C937FB" w:rsidRPr="005E0FA6" w:rsidRDefault="00C937FB" w:rsidP="00FC1B6B">
            <w:pPr>
              <w:spacing w:after="0" w:line="240" w:lineRule="auto"/>
              <w:ind w:left="-690"/>
              <w:rPr>
                <w:rFonts w:cs="Calibri"/>
                <w:b/>
                <w:bCs/>
                <w:color w:val="000000"/>
                <w:sz w:val="20"/>
              </w:rPr>
            </w:pPr>
          </w:p>
        </w:tc>
        <w:tc>
          <w:tcPr>
            <w:tcW w:w="1275" w:type="dxa"/>
            <w:tcBorders>
              <w:top w:val="single" w:sz="8" w:space="0" w:color="FFFFFF"/>
              <w:bottom w:val="single" w:sz="24" w:space="0" w:color="FFFFFF"/>
            </w:tcBorders>
            <w:shd w:val="clear" w:color="auto" w:fill="4F81BD"/>
            <w:vAlign w:val="center"/>
          </w:tcPr>
          <w:p w:rsidR="00C937FB" w:rsidRDefault="00C937FB" w:rsidP="00FC1B6B">
            <w:pPr>
              <w:spacing w:after="0" w:line="240" w:lineRule="auto"/>
              <w:jc w:val="center"/>
              <w:rPr>
                <w:rFonts w:cs="Calibri"/>
                <w:b/>
                <w:bCs/>
                <w:color w:val="000000"/>
              </w:rPr>
            </w:pPr>
            <w:r>
              <w:rPr>
                <w:rFonts w:cs="Calibri"/>
                <w:b/>
                <w:bCs/>
                <w:color w:val="000000"/>
              </w:rPr>
              <w:t xml:space="preserve">Konya </w:t>
            </w:r>
          </w:p>
          <w:p w:rsidR="00C937FB" w:rsidRPr="005E0FA6" w:rsidRDefault="00C937FB" w:rsidP="00FC1B6B">
            <w:pPr>
              <w:spacing w:after="0" w:line="240" w:lineRule="auto"/>
              <w:jc w:val="center"/>
              <w:rPr>
                <w:rFonts w:cs="Calibri"/>
                <w:b/>
                <w:bCs/>
                <w:color w:val="000000"/>
              </w:rPr>
            </w:pPr>
            <w:r>
              <w:rPr>
                <w:rFonts w:cs="Calibri"/>
                <w:b/>
                <w:bCs/>
                <w:color w:val="000000"/>
              </w:rPr>
              <w:t>(</w:t>
            </w:r>
            <w:r w:rsidRPr="005E0FA6">
              <w:rPr>
                <w:rFonts w:cs="Calibri"/>
                <w:b/>
                <w:bCs/>
                <w:color w:val="000000"/>
              </w:rPr>
              <w:t>4/</w:t>
            </w:r>
            <w:r>
              <w:rPr>
                <w:rFonts w:cs="Calibri"/>
                <w:b/>
                <w:bCs/>
                <w:color w:val="000000"/>
              </w:rPr>
              <w:t>b) Tarım</w:t>
            </w:r>
          </w:p>
        </w:tc>
        <w:tc>
          <w:tcPr>
            <w:tcW w:w="1331" w:type="dxa"/>
            <w:tcBorders>
              <w:top w:val="single" w:sz="8" w:space="0" w:color="FFFFFF"/>
              <w:left w:val="single" w:sz="8" w:space="0" w:color="FFFFFF"/>
              <w:bottom w:val="single" w:sz="24" w:space="0" w:color="FFFFFF"/>
              <w:right w:val="single" w:sz="8" w:space="0" w:color="FFFFFF"/>
            </w:tcBorders>
            <w:shd w:val="clear" w:color="auto" w:fill="4F81BD"/>
            <w:noWrap/>
            <w:vAlign w:val="center"/>
          </w:tcPr>
          <w:p w:rsidR="00C937FB" w:rsidRPr="005E0FA6" w:rsidRDefault="00C937FB" w:rsidP="00FC1B6B">
            <w:pPr>
              <w:spacing w:after="0" w:line="240" w:lineRule="auto"/>
              <w:jc w:val="center"/>
              <w:rPr>
                <w:rFonts w:cs="Calibri"/>
                <w:b/>
                <w:bCs/>
                <w:color w:val="000000"/>
              </w:rPr>
            </w:pPr>
            <w:r>
              <w:rPr>
                <w:rFonts w:cs="Calibri"/>
                <w:b/>
                <w:bCs/>
                <w:color w:val="000000"/>
              </w:rPr>
              <w:t>Türkiye (4/b) Tarım</w:t>
            </w:r>
          </w:p>
        </w:tc>
      </w:tr>
      <w:tr w:rsidR="00C937FB" w:rsidRPr="005E0FA6" w:rsidTr="00FC1B6B">
        <w:trPr>
          <w:trHeight w:val="268"/>
          <w:jc w:val="center"/>
        </w:trPr>
        <w:tc>
          <w:tcPr>
            <w:tcW w:w="345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 xml:space="preserve">Temmuz </w:t>
            </w:r>
            <w:r w:rsidRPr="005E0FA6">
              <w:rPr>
                <w:rFonts w:cs="Calibri"/>
                <w:b/>
                <w:bCs/>
                <w:color w:val="000000"/>
              </w:rPr>
              <w:t>200</w:t>
            </w:r>
            <w:r>
              <w:rPr>
                <w:rFonts w:cs="Calibri"/>
                <w:b/>
                <w:bCs/>
                <w:color w:val="000000"/>
              </w:rPr>
              <w:t>9</w:t>
            </w:r>
          </w:p>
        </w:tc>
        <w:tc>
          <w:tcPr>
            <w:tcW w:w="1275" w:type="dxa"/>
            <w:tcBorders>
              <w:top w:val="single" w:sz="8" w:space="0" w:color="FFFFFF"/>
              <w:bottom w:val="single" w:sz="8" w:space="0" w:color="FFFFFF"/>
            </w:tcBorders>
            <w:shd w:val="clear" w:color="auto" w:fill="A7BFDE"/>
            <w:vAlign w:val="center"/>
          </w:tcPr>
          <w:p w:rsidR="00C937FB" w:rsidRPr="00855A5A" w:rsidRDefault="00C937FB" w:rsidP="00FC1B6B">
            <w:pPr>
              <w:spacing w:after="0" w:line="240" w:lineRule="auto"/>
              <w:jc w:val="center"/>
              <w:rPr>
                <w:rFonts w:cs="Calibri"/>
                <w:bCs/>
                <w:color w:val="000000"/>
              </w:rPr>
            </w:pPr>
            <w:r>
              <w:rPr>
                <w:rFonts w:cs="Calibri"/>
                <w:bCs/>
                <w:color w:val="000000"/>
              </w:rPr>
              <w:t>57.481</w:t>
            </w:r>
          </w:p>
        </w:tc>
        <w:tc>
          <w:tcPr>
            <w:tcW w:w="1331"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1.049.015</w:t>
            </w:r>
          </w:p>
        </w:tc>
      </w:tr>
      <w:tr w:rsidR="00C937FB" w:rsidRPr="005E0FA6" w:rsidTr="00FC1B6B">
        <w:trPr>
          <w:trHeight w:val="268"/>
          <w:jc w:val="center"/>
        </w:trPr>
        <w:tc>
          <w:tcPr>
            <w:tcW w:w="3458" w:type="dxa"/>
            <w:tcBorders>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w:t>
            </w:r>
            <w:r>
              <w:rPr>
                <w:rFonts w:cs="Calibri"/>
                <w:b/>
                <w:bCs/>
                <w:color w:val="000000"/>
              </w:rPr>
              <w:t>10</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55.419</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1.068.099</w:t>
            </w:r>
          </w:p>
        </w:tc>
      </w:tr>
      <w:tr w:rsidR="00C937FB" w:rsidRPr="005E0FA6" w:rsidTr="00FC1B6B">
        <w:trPr>
          <w:trHeight w:val="268"/>
          <w:jc w:val="center"/>
        </w:trPr>
        <w:tc>
          <w:tcPr>
            <w:tcW w:w="345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1</w:t>
            </w:r>
          </w:p>
        </w:tc>
        <w:tc>
          <w:tcPr>
            <w:tcW w:w="1275" w:type="dxa"/>
            <w:tcBorders>
              <w:top w:val="single" w:sz="8" w:space="0" w:color="FFFFFF"/>
              <w:bottom w:val="single" w:sz="8" w:space="0" w:color="FFFFFF"/>
            </w:tcBorders>
            <w:shd w:val="clear" w:color="auto" w:fill="A7BFDE"/>
            <w:vAlign w:val="center"/>
          </w:tcPr>
          <w:p w:rsidR="00C937FB" w:rsidRPr="00855A5A" w:rsidRDefault="00C937FB" w:rsidP="00FC1B6B">
            <w:pPr>
              <w:spacing w:after="0" w:line="240" w:lineRule="auto"/>
              <w:jc w:val="center"/>
              <w:rPr>
                <w:rFonts w:cs="Calibri"/>
                <w:bCs/>
                <w:color w:val="000000"/>
              </w:rPr>
            </w:pPr>
            <w:r>
              <w:rPr>
                <w:rFonts w:cs="Calibri"/>
                <w:bCs/>
                <w:color w:val="000000"/>
              </w:rPr>
              <w:t>62.475</w:t>
            </w:r>
          </w:p>
        </w:tc>
        <w:tc>
          <w:tcPr>
            <w:tcW w:w="1331"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1.184.844</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2</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59.589</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1.103.934</w:t>
            </w:r>
          </w:p>
        </w:tc>
      </w:tr>
      <w:tr w:rsidR="00C937FB" w:rsidRPr="005E0FA6" w:rsidTr="00FC1B6B">
        <w:trPr>
          <w:trHeight w:val="268"/>
          <w:jc w:val="center"/>
        </w:trPr>
        <w:tc>
          <w:tcPr>
            <w:tcW w:w="6064" w:type="dxa"/>
            <w:gridSpan w:val="3"/>
            <w:shd w:val="clear" w:color="auto" w:fill="4F81BD"/>
            <w:noWrap/>
            <w:vAlign w:val="center"/>
          </w:tcPr>
          <w:p w:rsidR="00C937FB" w:rsidRPr="00A739DC"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11</w:t>
            </w:r>
            <w:r w:rsidRPr="005E0FA6">
              <w:rPr>
                <w:rFonts w:cs="Calibri"/>
                <w:b/>
                <w:bCs/>
                <w:color w:val="000000"/>
              </w:rPr>
              <w:t xml:space="preserve"> (Fark)</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-2.886</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-80.910</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Temmuz 11</w:t>
            </w:r>
            <w:r w:rsidRPr="005E0FA6">
              <w:rPr>
                <w:rFonts w:cs="Calibri"/>
                <w:b/>
                <w:bCs/>
                <w:color w:val="000000"/>
              </w:rPr>
              <w:t xml:space="preserve"> (Artış, %)</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-4,6</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-6,8</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11 - Temmuz 10</w:t>
            </w:r>
            <w:r w:rsidRPr="005E0FA6">
              <w:rPr>
                <w:rFonts w:cs="Calibri"/>
                <w:b/>
                <w:bCs/>
                <w:color w:val="000000"/>
              </w:rPr>
              <w:t xml:space="preserve"> (Artış, %)</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12,7</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10,9</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10 - Temmuz 09</w:t>
            </w:r>
            <w:r w:rsidRPr="005E0FA6">
              <w:rPr>
                <w:rFonts w:cs="Calibri"/>
                <w:b/>
                <w:bCs/>
                <w:color w:val="000000"/>
              </w:rPr>
              <w:t xml:space="preserve"> (Artış, %)</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-3,6</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1,8</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09</w:t>
            </w:r>
            <w:r w:rsidRPr="005E0FA6">
              <w:rPr>
                <w:rFonts w:cs="Calibri"/>
                <w:b/>
                <w:bCs/>
                <w:color w:val="000000"/>
              </w:rPr>
              <w:t xml:space="preserve"> (Artış, %)</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3,6</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5,2</w:t>
            </w:r>
          </w:p>
        </w:tc>
      </w:tr>
      <w:tr w:rsidR="00C937FB" w:rsidRPr="005E0FA6" w:rsidTr="00FC1B6B">
        <w:trPr>
          <w:trHeight w:val="268"/>
          <w:jc w:val="center"/>
        </w:trPr>
        <w:tc>
          <w:tcPr>
            <w:tcW w:w="6064" w:type="dxa"/>
            <w:gridSpan w:val="3"/>
            <w:shd w:val="clear" w:color="auto" w:fill="4F81BD"/>
            <w:noWrap/>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Haziran 2012*</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59.110</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1.099.916</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Temmuz 2012*</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59.318</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1.101.065</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Haziran 12</w:t>
            </w:r>
            <w:r w:rsidRPr="005E0FA6">
              <w:rPr>
                <w:rFonts w:cs="Calibri"/>
                <w:b/>
                <w:bCs/>
                <w:color w:val="000000"/>
              </w:rPr>
              <w:t xml:space="preserve"> (Fark)</w:t>
            </w:r>
            <w:r>
              <w:rPr>
                <w:rFonts w:cs="Calibri"/>
                <w:b/>
                <w:bCs/>
                <w:color w:val="000000"/>
              </w:rPr>
              <w:t>*</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208</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1.149</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Haziran 12</w:t>
            </w:r>
            <w:r w:rsidRPr="005E0FA6">
              <w:rPr>
                <w:rFonts w:cs="Calibri"/>
                <w:b/>
                <w:bCs/>
                <w:color w:val="000000"/>
              </w:rPr>
              <w:t xml:space="preserve"> (Artış, %)</w:t>
            </w:r>
            <w:r>
              <w:rPr>
                <w:rFonts w:cs="Calibri"/>
                <w:b/>
                <w:bCs/>
                <w:color w:val="000000"/>
              </w:rPr>
              <w:t>*</w:t>
            </w:r>
          </w:p>
        </w:tc>
        <w:tc>
          <w:tcPr>
            <w:tcW w:w="1275" w:type="dxa"/>
            <w:shd w:val="clear" w:color="auto" w:fill="D3DFEE"/>
            <w:vAlign w:val="center"/>
          </w:tcPr>
          <w:p w:rsidR="00C937FB" w:rsidRPr="00855A5A" w:rsidRDefault="00C937FB" w:rsidP="00FC1B6B">
            <w:pPr>
              <w:spacing w:after="0" w:line="240" w:lineRule="auto"/>
              <w:jc w:val="center"/>
              <w:rPr>
                <w:rFonts w:cs="Calibri"/>
                <w:bCs/>
                <w:color w:val="000000"/>
              </w:rPr>
            </w:pPr>
            <w:r>
              <w:rPr>
                <w:rFonts w:cs="Calibri"/>
                <w:bCs/>
                <w:color w:val="000000"/>
              </w:rPr>
              <w:t>0,3</w:t>
            </w:r>
          </w:p>
        </w:tc>
        <w:tc>
          <w:tcPr>
            <w:tcW w:w="1331" w:type="dxa"/>
            <w:shd w:val="clear" w:color="auto" w:fill="D3DFEE"/>
            <w:noWrap/>
            <w:vAlign w:val="center"/>
          </w:tcPr>
          <w:p w:rsidR="00C937FB" w:rsidRPr="00855A5A" w:rsidRDefault="00C937FB" w:rsidP="00FC1B6B">
            <w:pPr>
              <w:spacing w:after="0" w:line="240" w:lineRule="auto"/>
              <w:jc w:val="center"/>
              <w:rPr>
                <w:rFonts w:cs="Calibri"/>
                <w:bCs/>
                <w:color w:val="000000"/>
              </w:rPr>
            </w:pPr>
            <w:r>
              <w:rPr>
                <w:rFonts w:cs="Calibri"/>
                <w:bCs/>
                <w:color w:val="000000"/>
              </w:rPr>
              <w:t>0,1</w:t>
            </w:r>
          </w:p>
        </w:tc>
      </w:tr>
    </w:tbl>
    <w:p w:rsidR="00C937FB" w:rsidRDefault="00C937FB" w:rsidP="00C937FB">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szCs w:val="24"/>
        </w:rPr>
      </w:pPr>
      <w:r w:rsidRPr="000769E8">
        <w:rPr>
          <w:sz w:val="24"/>
          <w:szCs w:val="24"/>
        </w:rPr>
        <w:lastRenderedPageBreak/>
        <w:t xml:space="preserve">Konya, kayıtlı çiftçi sayısı en fazla olan iller arasında </w:t>
      </w:r>
      <w:r>
        <w:rPr>
          <w:sz w:val="24"/>
          <w:szCs w:val="24"/>
        </w:rPr>
        <w:t xml:space="preserve">yaklaşık </w:t>
      </w:r>
      <w:r w:rsidRPr="000769E8">
        <w:rPr>
          <w:sz w:val="24"/>
          <w:szCs w:val="24"/>
        </w:rPr>
        <w:t>6</w:t>
      </w:r>
      <w:r>
        <w:rPr>
          <w:sz w:val="24"/>
          <w:szCs w:val="24"/>
        </w:rPr>
        <w:t xml:space="preserve">0 bin </w:t>
      </w:r>
      <w:r w:rsidRPr="000769E8">
        <w:rPr>
          <w:sz w:val="24"/>
          <w:szCs w:val="24"/>
        </w:rPr>
        <w:t xml:space="preserve">çiftçi ile 1. sıradadır. Konya’yı Antalya, Manisa ve Mersin takip etmektedir. Konya’da kayıtlı çiftçiler </w:t>
      </w:r>
      <w:r>
        <w:rPr>
          <w:sz w:val="24"/>
          <w:szCs w:val="24"/>
        </w:rPr>
        <w:t xml:space="preserve">Temmuz </w:t>
      </w:r>
      <w:r w:rsidRPr="000769E8">
        <w:rPr>
          <w:sz w:val="24"/>
          <w:szCs w:val="24"/>
        </w:rPr>
        <w:t>2012 verilerine göre Türkiye gene</w:t>
      </w:r>
      <w:r>
        <w:rPr>
          <w:sz w:val="24"/>
          <w:szCs w:val="24"/>
        </w:rPr>
        <w:t>lindeki kayıtlı çiftçilerin</w:t>
      </w:r>
      <w:r w:rsidRPr="000769E8">
        <w:rPr>
          <w:sz w:val="24"/>
          <w:szCs w:val="24"/>
        </w:rPr>
        <w:t xml:space="preserve"> yüzde 5,4’ünü oluşturmaktır.</w:t>
      </w:r>
    </w:p>
    <w:p w:rsidR="00C937FB" w:rsidRDefault="00C937FB" w:rsidP="00C937FB">
      <w:pPr>
        <w:jc w:val="both"/>
        <w:rPr>
          <w:sz w:val="24"/>
          <w:szCs w:val="24"/>
        </w:rPr>
      </w:pPr>
      <w:r>
        <w:rPr>
          <w:sz w:val="24"/>
          <w:szCs w:val="24"/>
        </w:rPr>
        <w:t xml:space="preserve">Temmuz 2011’den Temmuz 2012’ye kayıtlı çiftçi sayısı değişiminde Konya, yüzde 4,6’lık azalış ile 81 il arasında 29. sırada, çiftçi sayısının en fazla olduğu ilk 15 il arasında ise Konya, 7. sırada gelmektedir. </w:t>
      </w:r>
    </w:p>
    <w:p w:rsidR="00C937FB" w:rsidRPr="00F06F92" w:rsidRDefault="00C937FB" w:rsidP="00C937FB">
      <w:pPr>
        <w:jc w:val="both"/>
        <w:rPr>
          <w:sz w:val="24"/>
          <w:szCs w:val="24"/>
        </w:rPr>
      </w:pPr>
      <w:r w:rsidRPr="000769E8">
        <w:rPr>
          <w:sz w:val="24"/>
          <w:szCs w:val="24"/>
        </w:rPr>
        <w:t xml:space="preserve">Türkiye ve Konya’daki kayıtlı çiftçi sayısı Ekim 2008’de 100 kabul edildiğinde, söz konusu değer, </w:t>
      </w:r>
      <w:r>
        <w:rPr>
          <w:sz w:val="24"/>
          <w:szCs w:val="24"/>
        </w:rPr>
        <w:t>Temmuz</w:t>
      </w:r>
      <w:r w:rsidRPr="000769E8">
        <w:rPr>
          <w:sz w:val="24"/>
          <w:szCs w:val="24"/>
        </w:rPr>
        <w:t xml:space="preserve"> 2012’de</w:t>
      </w:r>
      <w:r>
        <w:rPr>
          <w:sz w:val="24"/>
          <w:szCs w:val="24"/>
        </w:rPr>
        <w:t>, Türkiye için 96,6 olurken Konya için</w:t>
      </w:r>
      <w:r w:rsidRPr="000769E8">
        <w:rPr>
          <w:sz w:val="24"/>
          <w:szCs w:val="24"/>
        </w:rPr>
        <w:t xml:space="preserve"> </w:t>
      </w:r>
      <w:r>
        <w:rPr>
          <w:sz w:val="24"/>
          <w:szCs w:val="24"/>
        </w:rPr>
        <w:t>103</w:t>
      </w:r>
      <w:r w:rsidRPr="000769E8">
        <w:rPr>
          <w:sz w:val="24"/>
          <w:szCs w:val="24"/>
        </w:rPr>
        <w:t xml:space="preserve"> olmuştur.</w:t>
      </w:r>
    </w:p>
    <w:p w:rsidR="00C937FB" w:rsidRDefault="00C937FB" w:rsidP="00C937FB">
      <w:pPr>
        <w:pStyle w:val="Balk2"/>
        <w:rPr>
          <w:rFonts w:asciiTheme="minorHAnsi" w:hAnsiTheme="minorHAnsi"/>
          <w:sz w:val="24"/>
        </w:rPr>
      </w:pPr>
      <w:r w:rsidRPr="00A6496C">
        <w:rPr>
          <w:rFonts w:asciiTheme="minorHAnsi" w:hAnsiTheme="minorHAnsi"/>
          <w:sz w:val="24"/>
        </w:rPr>
        <w:t xml:space="preserve">Şekil </w:t>
      </w:r>
      <w:r>
        <w:rPr>
          <w:rFonts w:asciiTheme="minorHAnsi" w:hAnsiTheme="minorHAnsi"/>
          <w:sz w:val="24"/>
        </w:rPr>
        <w:t>5</w:t>
      </w:r>
      <w:r w:rsidRPr="00A6496C">
        <w:rPr>
          <w:rFonts w:asciiTheme="minorHAnsi" w:hAnsiTheme="minorHAnsi"/>
          <w:sz w:val="24"/>
        </w:rPr>
        <w:t xml:space="preserve">. Aylara Göre </w:t>
      </w:r>
      <w:r>
        <w:rPr>
          <w:rFonts w:asciiTheme="minorHAnsi" w:hAnsiTheme="minorHAnsi"/>
          <w:sz w:val="24"/>
        </w:rPr>
        <w:t xml:space="preserve">Kayıtlı Çiftçi (Tarım) (4/b) </w:t>
      </w:r>
      <w:r w:rsidRPr="00A6496C">
        <w:rPr>
          <w:rFonts w:asciiTheme="minorHAnsi" w:hAnsiTheme="minorHAnsi"/>
          <w:sz w:val="24"/>
        </w:rPr>
        <w:t>Sayısı</w:t>
      </w:r>
      <w:r w:rsidRPr="00F5336E">
        <w:rPr>
          <w:rFonts w:asciiTheme="minorHAnsi" w:hAnsiTheme="minorHAnsi"/>
          <w:sz w:val="24"/>
        </w:rPr>
        <w:t xml:space="preserve"> </w:t>
      </w:r>
      <w:r w:rsidRPr="00A6496C">
        <w:rPr>
          <w:rFonts w:asciiTheme="minorHAnsi" w:hAnsiTheme="minorHAnsi"/>
          <w:sz w:val="24"/>
        </w:rPr>
        <w:t>(</w:t>
      </w:r>
      <w:r>
        <w:rPr>
          <w:rFonts w:asciiTheme="minorHAnsi" w:hAnsiTheme="minorHAnsi"/>
          <w:sz w:val="24"/>
        </w:rPr>
        <w:t xml:space="preserve">Ekim 2008=100 olarak </w:t>
      </w:r>
      <w:r w:rsidRPr="00A6496C">
        <w:rPr>
          <w:rFonts w:asciiTheme="minorHAnsi" w:hAnsiTheme="minorHAnsi"/>
          <w:sz w:val="24"/>
        </w:rPr>
        <w:t>endekslenmiştir)</w:t>
      </w:r>
      <w:r>
        <w:rPr>
          <w:rFonts w:asciiTheme="minorHAnsi" w:hAnsiTheme="minorHAnsi"/>
          <w:sz w:val="24"/>
        </w:rPr>
        <w:t xml:space="preserve"> (Mevsimsellikten arındırılmış seriler)</w:t>
      </w:r>
    </w:p>
    <w:p w:rsidR="00C937FB" w:rsidRPr="008E322D" w:rsidRDefault="00C937FB" w:rsidP="00C937FB">
      <w:pPr>
        <w:spacing w:after="0"/>
      </w:pPr>
      <w:r>
        <w:rPr>
          <w:noProof/>
          <w:lang w:eastAsia="tr-TR"/>
        </w:rPr>
        <w:drawing>
          <wp:inline distT="0" distB="0" distL="0" distR="0" wp14:anchorId="43512E76" wp14:editId="1C7045AD">
            <wp:extent cx="5762847" cy="2445489"/>
            <wp:effectExtent l="19050" t="0" r="28353"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937FB" w:rsidRPr="007A7AFD" w:rsidRDefault="00C937FB" w:rsidP="00C937FB">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C937FB" w:rsidRPr="00D26E28" w:rsidRDefault="00C937FB" w:rsidP="00C937FB">
      <w:pPr>
        <w:spacing w:after="0"/>
      </w:pPr>
    </w:p>
    <w:p w:rsidR="00C937FB" w:rsidRDefault="00C937FB" w:rsidP="00C937FB"/>
    <w:p w:rsidR="00C937FB" w:rsidRDefault="00C937FB" w:rsidP="00C937FB"/>
    <w:p w:rsidR="00C937FB" w:rsidRDefault="00C937FB" w:rsidP="00C937FB"/>
    <w:p w:rsidR="00C937FB" w:rsidRDefault="00C937FB" w:rsidP="00C937FB"/>
    <w:p w:rsidR="00C937FB" w:rsidRDefault="00C937FB" w:rsidP="00C937FB"/>
    <w:p w:rsidR="00C937FB" w:rsidRDefault="00C937FB" w:rsidP="00C937FB"/>
    <w:p w:rsidR="00C937FB" w:rsidRDefault="00C937FB" w:rsidP="00C937FB"/>
    <w:p w:rsidR="00C937FB" w:rsidRDefault="00C937FB" w:rsidP="00C937FB"/>
    <w:p w:rsidR="00C937FB" w:rsidRDefault="00C937FB" w:rsidP="00C937FB"/>
    <w:p w:rsidR="00C937FB" w:rsidRDefault="00C937FB" w:rsidP="00C937FB">
      <w:pPr>
        <w:pStyle w:val="Balk1"/>
        <w:spacing w:before="0" w:after="240"/>
        <w:rPr>
          <w:rFonts w:asciiTheme="minorHAnsi" w:hAnsiTheme="minorHAnsi"/>
        </w:rPr>
      </w:pPr>
      <w:r>
        <w:rPr>
          <w:rFonts w:asciiTheme="minorHAnsi" w:hAnsiTheme="minorHAnsi"/>
        </w:rPr>
        <w:lastRenderedPageBreak/>
        <w:t>Konya’nın kamu çalışanı ar</w:t>
      </w:r>
      <w:r w:rsidR="00055B1C">
        <w:rPr>
          <w:rFonts w:asciiTheme="minorHAnsi" w:hAnsiTheme="minorHAnsi"/>
        </w:rPr>
        <w:t>tış hızı Türkiye’nin gerisinde</w:t>
      </w:r>
    </w:p>
    <w:p w:rsidR="00C937FB" w:rsidRDefault="00C937FB" w:rsidP="00C937FB">
      <w:pPr>
        <w:jc w:val="both"/>
        <w:rPr>
          <w:sz w:val="24"/>
          <w:szCs w:val="24"/>
        </w:rPr>
      </w:pPr>
      <w:r>
        <w:rPr>
          <w:sz w:val="24"/>
          <w:szCs w:val="24"/>
        </w:rPr>
        <w:t>SGK verilerine göre Temmuz 2012’de kamu çalışanlarının (4/c) sayısı Türkiye genelinde 2 milyon 614 bin olurken Konya’da ise 65 bin olmuştur. Temmuz 2011’den Temmuz 2012’ye kamu çalışanı sayısı Türkiye’de 237 bin kadar (yüzde 9,9) artarken Konya’da 5 bin 434 (yüzde 9,2) artmıştır. Son 1 yıldaki kamu çalışanı artış oranında Konya, Türkiye’nin gerisinde kalmıştır.</w:t>
      </w:r>
      <w:r w:rsidRPr="00C67A0B">
        <w:rPr>
          <w:sz w:val="24"/>
          <w:szCs w:val="24"/>
        </w:rPr>
        <w:t xml:space="preserve"> </w:t>
      </w:r>
      <w:r>
        <w:rPr>
          <w:sz w:val="24"/>
          <w:szCs w:val="24"/>
        </w:rPr>
        <w:t>Temmuz 2009’dan Temmuz 2012’ye Türkiye’de kamu çalışanı sayısı yüzde 15,6 artarken Konya’da artış oranı ise yüzde 16 olmuştur.</w:t>
      </w:r>
    </w:p>
    <w:p w:rsidR="00C937FB" w:rsidRDefault="00C937FB" w:rsidP="00C937FB">
      <w:pPr>
        <w:jc w:val="both"/>
      </w:pPr>
      <w:r>
        <w:rPr>
          <w:sz w:val="24"/>
          <w:szCs w:val="24"/>
        </w:rPr>
        <w:t>Mevsimsellikten arındırılmış serilerde ise son 1 ayda kamu çalışanı sayısı Türkiye genelinde yüzde 0,6 artarken, Konya’da yüzde 0,5 artmıştır.</w:t>
      </w:r>
    </w:p>
    <w:p w:rsidR="00C937FB" w:rsidRPr="00F5336E" w:rsidRDefault="00C937FB" w:rsidP="00C937FB">
      <w:pPr>
        <w:pStyle w:val="Balk2"/>
        <w:rPr>
          <w:rFonts w:asciiTheme="minorHAnsi" w:hAnsiTheme="minorHAnsi"/>
          <w:sz w:val="24"/>
        </w:rPr>
      </w:pPr>
      <w:r w:rsidRPr="00F5336E">
        <w:rPr>
          <w:rFonts w:asciiTheme="minorHAnsi" w:hAnsiTheme="minorHAnsi"/>
          <w:sz w:val="24"/>
        </w:rPr>
        <w:t xml:space="preserve">Tablo </w:t>
      </w:r>
      <w:r>
        <w:rPr>
          <w:rFonts w:asciiTheme="minorHAnsi" w:hAnsiTheme="minorHAnsi"/>
          <w:sz w:val="24"/>
        </w:rPr>
        <w:t>6</w:t>
      </w:r>
      <w:r w:rsidRPr="00F5336E">
        <w:rPr>
          <w:rFonts w:asciiTheme="minorHAnsi" w:hAnsiTheme="minorHAnsi"/>
          <w:sz w:val="24"/>
        </w:rPr>
        <w:t xml:space="preserve">. </w:t>
      </w:r>
      <w:r>
        <w:rPr>
          <w:rFonts w:asciiTheme="minorHAnsi" w:hAnsiTheme="minorHAnsi"/>
          <w:sz w:val="24"/>
        </w:rPr>
        <w:t xml:space="preserve">Kamu Çalışanı (4/c) </w:t>
      </w:r>
      <w:r w:rsidRPr="00A6496C">
        <w:rPr>
          <w:rFonts w:asciiTheme="minorHAnsi" w:hAnsiTheme="minorHAnsi"/>
          <w:sz w:val="24"/>
        </w:rPr>
        <w:t>Sayısı</w:t>
      </w:r>
      <w:r w:rsidRPr="00F5336E">
        <w:rPr>
          <w:rFonts w:asciiTheme="minorHAnsi" w:hAnsiTheme="minorHAnsi"/>
          <w:sz w:val="24"/>
        </w:rPr>
        <w:t xml:space="preserve"> (</w:t>
      </w:r>
      <w:r>
        <w:rPr>
          <w:rFonts w:asciiTheme="minorHAnsi" w:hAnsiTheme="minorHAnsi"/>
          <w:sz w:val="24"/>
        </w:rPr>
        <w:t>Temmuz, 2009-2012; Haziran-Temmuz 2012</w:t>
      </w:r>
      <w:r w:rsidRPr="00F5336E">
        <w:rPr>
          <w:rFonts w:asciiTheme="minorHAnsi" w:hAnsiTheme="minorHAnsi"/>
          <w:sz w:val="24"/>
        </w:rPr>
        <w:t>)</w:t>
      </w:r>
    </w:p>
    <w:tbl>
      <w:tblPr>
        <w:tblW w:w="6064" w:type="dxa"/>
        <w:jc w:val="center"/>
        <w:tblInd w:w="-4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458"/>
        <w:gridCol w:w="1275"/>
        <w:gridCol w:w="1331"/>
      </w:tblGrid>
      <w:tr w:rsidR="00C937FB" w:rsidRPr="005E0FA6" w:rsidTr="00FC1B6B">
        <w:trPr>
          <w:trHeight w:val="713"/>
          <w:jc w:val="center"/>
        </w:trPr>
        <w:tc>
          <w:tcPr>
            <w:tcW w:w="3458" w:type="dxa"/>
            <w:tcBorders>
              <w:top w:val="single" w:sz="8" w:space="0" w:color="FFFFFF"/>
              <w:bottom w:val="single" w:sz="24" w:space="0" w:color="FFFFFF"/>
              <w:right w:val="single" w:sz="8" w:space="0" w:color="FFFFFF"/>
            </w:tcBorders>
            <w:shd w:val="clear" w:color="auto" w:fill="4F81BD"/>
            <w:noWrap/>
          </w:tcPr>
          <w:p w:rsidR="00C937FB" w:rsidRPr="005E0FA6" w:rsidRDefault="00C937FB" w:rsidP="00FC1B6B">
            <w:pPr>
              <w:spacing w:after="0" w:line="240" w:lineRule="auto"/>
              <w:ind w:left="-690"/>
              <w:rPr>
                <w:rFonts w:cs="Calibri"/>
                <w:b/>
                <w:bCs/>
                <w:color w:val="000000"/>
                <w:sz w:val="20"/>
              </w:rPr>
            </w:pPr>
          </w:p>
        </w:tc>
        <w:tc>
          <w:tcPr>
            <w:tcW w:w="1275" w:type="dxa"/>
            <w:tcBorders>
              <w:top w:val="single" w:sz="8" w:space="0" w:color="FFFFFF"/>
              <w:bottom w:val="single" w:sz="24" w:space="0" w:color="FFFFFF"/>
            </w:tcBorders>
            <w:shd w:val="clear" w:color="auto" w:fill="4F81BD"/>
            <w:vAlign w:val="center"/>
          </w:tcPr>
          <w:p w:rsidR="00C937FB" w:rsidRDefault="00C937FB" w:rsidP="00FC1B6B">
            <w:pPr>
              <w:spacing w:after="0" w:line="240" w:lineRule="auto"/>
              <w:jc w:val="center"/>
              <w:rPr>
                <w:rFonts w:cs="Calibri"/>
                <w:b/>
                <w:bCs/>
                <w:color w:val="000000"/>
              </w:rPr>
            </w:pPr>
            <w:r>
              <w:rPr>
                <w:rFonts w:cs="Calibri"/>
                <w:b/>
                <w:bCs/>
                <w:color w:val="000000"/>
              </w:rPr>
              <w:t xml:space="preserve">Konya </w:t>
            </w:r>
          </w:p>
          <w:p w:rsidR="00C937FB" w:rsidRPr="005E0FA6" w:rsidRDefault="00C937FB" w:rsidP="00FC1B6B">
            <w:pPr>
              <w:spacing w:after="0" w:line="240" w:lineRule="auto"/>
              <w:jc w:val="center"/>
              <w:rPr>
                <w:rFonts w:cs="Calibri"/>
                <w:b/>
                <w:bCs/>
                <w:color w:val="000000"/>
              </w:rPr>
            </w:pPr>
            <w:r>
              <w:rPr>
                <w:rFonts w:cs="Calibri"/>
                <w:b/>
                <w:bCs/>
                <w:color w:val="000000"/>
              </w:rPr>
              <w:t>(</w:t>
            </w:r>
            <w:r w:rsidRPr="005E0FA6">
              <w:rPr>
                <w:rFonts w:cs="Calibri"/>
                <w:b/>
                <w:bCs/>
                <w:color w:val="000000"/>
              </w:rPr>
              <w:t>4/</w:t>
            </w:r>
            <w:r>
              <w:rPr>
                <w:rFonts w:cs="Calibri"/>
                <w:b/>
                <w:bCs/>
                <w:color w:val="000000"/>
              </w:rPr>
              <w:t>c)</w:t>
            </w:r>
          </w:p>
        </w:tc>
        <w:tc>
          <w:tcPr>
            <w:tcW w:w="1331" w:type="dxa"/>
            <w:tcBorders>
              <w:top w:val="single" w:sz="8" w:space="0" w:color="FFFFFF"/>
              <w:left w:val="single" w:sz="8" w:space="0" w:color="FFFFFF"/>
              <w:bottom w:val="single" w:sz="24" w:space="0" w:color="FFFFFF"/>
              <w:right w:val="single" w:sz="8" w:space="0" w:color="FFFFFF"/>
            </w:tcBorders>
            <w:shd w:val="clear" w:color="auto" w:fill="4F81BD"/>
            <w:noWrap/>
            <w:vAlign w:val="center"/>
          </w:tcPr>
          <w:p w:rsidR="00C937FB" w:rsidRPr="005E0FA6" w:rsidRDefault="00C937FB" w:rsidP="00FC1B6B">
            <w:pPr>
              <w:spacing w:after="0" w:line="240" w:lineRule="auto"/>
              <w:jc w:val="center"/>
              <w:rPr>
                <w:rFonts w:cs="Calibri"/>
                <w:b/>
                <w:bCs/>
                <w:color w:val="000000"/>
              </w:rPr>
            </w:pPr>
            <w:r>
              <w:rPr>
                <w:rFonts w:cs="Calibri"/>
                <w:b/>
                <w:bCs/>
                <w:color w:val="000000"/>
              </w:rPr>
              <w:t>Türkiye (4/c)</w:t>
            </w:r>
          </w:p>
        </w:tc>
      </w:tr>
      <w:tr w:rsidR="00C937FB" w:rsidRPr="005E0FA6" w:rsidTr="00FC1B6B">
        <w:trPr>
          <w:trHeight w:val="268"/>
          <w:jc w:val="center"/>
        </w:trPr>
        <w:tc>
          <w:tcPr>
            <w:tcW w:w="345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 xml:space="preserve">Temmuz </w:t>
            </w:r>
            <w:r w:rsidRPr="005E0FA6">
              <w:rPr>
                <w:rFonts w:cs="Calibri"/>
                <w:b/>
                <w:bCs/>
                <w:color w:val="000000"/>
              </w:rPr>
              <w:t>200</w:t>
            </w:r>
            <w:r>
              <w:rPr>
                <w:rFonts w:cs="Calibri"/>
                <w:b/>
                <w:bCs/>
                <w:color w:val="000000"/>
              </w:rPr>
              <w:t>9</w:t>
            </w:r>
          </w:p>
        </w:tc>
        <w:tc>
          <w:tcPr>
            <w:tcW w:w="1275" w:type="dxa"/>
            <w:tcBorders>
              <w:top w:val="single" w:sz="8" w:space="0" w:color="FFFFFF"/>
              <w:bottom w:val="single" w:sz="8" w:space="0" w:color="FFFFFF"/>
            </w:tcBorders>
            <w:shd w:val="clear" w:color="auto" w:fill="A7BFDE"/>
            <w:vAlign w:val="center"/>
          </w:tcPr>
          <w:p w:rsidR="00C937FB" w:rsidRPr="008E322D" w:rsidRDefault="00C937FB" w:rsidP="00FC1B6B">
            <w:pPr>
              <w:spacing w:after="0" w:line="240" w:lineRule="auto"/>
              <w:jc w:val="center"/>
              <w:rPr>
                <w:rFonts w:cs="Calibri"/>
                <w:bCs/>
                <w:color w:val="000000"/>
              </w:rPr>
            </w:pPr>
            <w:r>
              <w:rPr>
                <w:rFonts w:cs="Calibri"/>
                <w:bCs/>
                <w:color w:val="000000"/>
              </w:rPr>
              <w:t>55.859</w:t>
            </w:r>
          </w:p>
        </w:tc>
        <w:tc>
          <w:tcPr>
            <w:tcW w:w="1331"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8E322D" w:rsidRDefault="00C937FB" w:rsidP="00FC1B6B">
            <w:pPr>
              <w:spacing w:after="0" w:line="240" w:lineRule="auto"/>
              <w:jc w:val="center"/>
              <w:rPr>
                <w:rFonts w:cs="Calibri"/>
                <w:bCs/>
                <w:color w:val="000000"/>
              </w:rPr>
            </w:pPr>
            <w:r>
              <w:rPr>
                <w:rFonts w:cs="Calibri"/>
                <w:bCs/>
                <w:color w:val="000000"/>
              </w:rPr>
              <w:t>2.260.614</w:t>
            </w:r>
          </w:p>
        </w:tc>
      </w:tr>
      <w:tr w:rsidR="00C937FB" w:rsidRPr="005E0FA6" w:rsidTr="00FC1B6B">
        <w:trPr>
          <w:trHeight w:val="268"/>
          <w:jc w:val="center"/>
        </w:trPr>
        <w:tc>
          <w:tcPr>
            <w:tcW w:w="3458" w:type="dxa"/>
            <w:tcBorders>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w:t>
            </w:r>
            <w:r>
              <w:rPr>
                <w:rFonts w:cs="Calibri"/>
                <w:b/>
                <w:bCs/>
                <w:color w:val="000000"/>
              </w:rPr>
              <w:t>10</w:t>
            </w:r>
          </w:p>
        </w:tc>
        <w:tc>
          <w:tcPr>
            <w:tcW w:w="1275" w:type="dxa"/>
            <w:shd w:val="clear" w:color="auto" w:fill="D3DFEE"/>
            <w:vAlign w:val="center"/>
          </w:tcPr>
          <w:p w:rsidR="00C937FB" w:rsidRPr="008E322D" w:rsidRDefault="00C937FB" w:rsidP="00FC1B6B">
            <w:pPr>
              <w:spacing w:after="0" w:line="240" w:lineRule="auto"/>
              <w:jc w:val="center"/>
              <w:rPr>
                <w:rFonts w:cs="Calibri"/>
                <w:bCs/>
                <w:color w:val="000000"/>
              </w:rPr>
            </w:pPr>
            <w:r>
              <w:rPr>
                <w:rFonts w:cs="Calibri"/>
                <w:bCs/>
                <w:color w:val="000000"/>
              </w:rPr>
              <w:t>55.846</w:t>
            </w:r>
          </w:p>
        </w:tc>
        <w:tc>
          <w:tcPr>
            <w:tcW w:w="1331" w:type="dxa"/>
            <w:shd w:val="clear" w:color="auto" w:fill="D3DFEE"/>
            <w:noWrap/>
            <w:vAlign w:val="center"/>
          </w:tcPr>
          <w:p w:rsidR="00C937FB" w:rsidRPr="008E322D" w:rsidRDefault="00C937FB" w:rsidP="00FC1B6B">
            <w:pPr>
              <w:spacing w:after="0" w:line="240" w:lineRule="auto"/>
              <w:jc w:val="center"/>
              <w:rPr>
                <w:rFonts w:cs="Calibri"/>
                <w:bCs/>
                <w:color w:val="000000"/>
              </w:rPr>
            </w:pPr>
            <w:r>
              <w:rPr>
                <w:rFonts w:cs="Calibri"/>
                <w:bCs/>
                <w:color w:val="000000"/>
              </w:rPr>
              <w:t>2.238.883</w:t>
            </w:r>
          </w:p>
        </w:tc>
      </w:tr>
      <w:tr w:rsidR="00C937FB" w:rsidRPr="005E0FA6" w:rsidTr="00FC1B6B">
        <w:trPr>
          <w:trHeight w:val="268"/>
          <w:jc w:val="center"/>
        </w:trPr>
        <w:tc>
          <w:tcPr>
            <w:tcW w:w="3458" w:type="dxa"/>
            <w:tcBorders>
              <w:top w:val="single" w:sz="8" w:space="0" w:color="FFFFFF"/>
              <w:bottom w:val="nil"/>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1</w:t>
            </w:r>
          </w:p>
        </w:tc>
        <w:tc>
          <w:tcPr>
            <w:tcW w:w="1275" w:type="dxa"/>
            <w:tcBorders>
              <w:top w:val="single" w:sz="8" w:space="0" w:color="FFFFFF"/>
              <w:bottom w:val="single" w:sz="8" w:space="0" w:color="FFFFFF"/>
            </w:tcBorders>
            <w:shd w:val="clear" w:color="auto" w:fill="A7BFDE"/>
            <w:vAlign w:val="center"/>
          </w:tcPr>
          <w:p w:rsidR="00C937FB" w:rsidRPr="008E322D" w:rsidRDefault="00C937FB" w:rsidP="00FC1B6B">
            <w:pPr>
              <w:spacing w:after="0" w:line="240" w:lineRule="auto"/>
              <w:jc w:val="center"/>
              <w:rPr>
                <w:rFonts w:cs="Calibri"/>
                <w:bCs/>
                <w:color w:val="000000"/>
              </w:rPr>
            </w:pPr>
            <w:r>
              <w:rPr>
                <w:rFonts w:cs="Calibri"/>
                <w:bCs/>
                <w:color w:val="000000"/>
              </w:rPr>
              <w:t>59.363</w:t>
            </w:r>
          </w:p>
        </w:tc>
        <w:tc>
          <w:tcPr>
            <w:tcW w:w="1331"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C937FB" w:rsidRPr="008E322D" w:rsidRDefault="00C937FB" w:rsidP="00FC1B6B">
            <w:pPr>
              <w:spacing w:after="0" w:line="240" w:lineRule="auto"/>
              <w:jc w:val="center"/>
              <w:rPr>
                <w:rFonts w:cs="Calibri"/>
                <w:bCs/>
                <w:color w:val="000000"/>
              </w:rPr>
            </w:pPr>
            <w:r>
              <w:rPr>
                <w:rFonts w:cs="Calibri"/>
                <w:bCs/>
                <w:color w:val="000000"/>
              </w:rPr>
              <w:t>2.376.533</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201</w:t>
            </w:r>
            <w:r>
              <w:rPr>
                <w:rFonts w:cs="Calibri"/>
                <w:b/>
                <w:bCs/>
                <w:color w:val="000000"/>
              </w:rPr>
              <w:t>2</w:t>
            </w:r>
          </w:p>
        </w:tc>
        <w:tc>
          <w:tcPr>
            <w:tcW w:w="1275" w:type="dxa"/>
            <w:shd w:val="clear" w:color="auto" w:fill="D3DFEE"/>
            <w:vAlign w:val="center"/>
          </w:tcPr>
          <w:p w:rsidR="00C937FB" w:rsidRPr="008E322D" w:rsidRDefault="00C937FB" w:rsidP="00FC1B6B">
            <w:pPr>
              <w:spacing w:after="0" w:line="240" w:lineRule="auto"/>
              <w:jc w:val="center"/>
              <w:rPr>
                <w:rFonts w:cs="Calibri"/>
                <w:bCs/>
                <w:color w:val="000000"/>
              </w:rPr>
            </w:pPr>
            <w:r>
              <w:rPr>
                <w:rFonts w:cs="Calibri"/>
                <w:bCs/>
                <w:color w:val="000000"/>
              </w:rPr>
              <w:t>64.797</w:t>
            </w:r>
          </w:p>
        </w:tc>
        <w:tc>
          <w:tcPr>
            <w:tcW w:w="1331" w:type="dxa"/>
            <w:shd w:val="clear" w:color="auto" w:fill="D3DFEE"/>
            <w:noWrap/>
            <w:vAlign w:val="center"/>
          </w:tcPr>
          <w:p w:rsidR="00C937FB" w:rsidRPr="008E322D" w:rsidRDefault="00C937FB" w:rsidP="00FC1B6B">
            <w:pPr>
              <w:spacing w:after="0" w:line="240" w:lineRule="auto"/>
              <w:jc w:val="center"/>
              <w:rPr>
                <w:rFonts w:cs="Calibri"/>
                <w:bCs/>
                <w:color w:val="000000"/>
              </w:rPr>
            </w:pPr>
            <w:r>
              <w:rPr>
                <w:rFonts w:cs="Calibri"/>
                <w:bCs/>
                <w:color w:val="000000"/>
              </w:rPr>
              <w:t>2.613.791</w:t>
            </w:r>
          </w:p>
        </w:tc>
      </w:tr>
      <w:tr w:rsidR="00C937FB" w:rsidRPr="005E0FA6" w:rsidTr="00FC1B6B">
        <w:trPr>
          <w:trHeight w:val="268"/>
          <w:jc w:val="center"/>
        </w:trPr>
        <w:tc>
          <w:tcPr>
            <w:tcW w:w="6064" w:type="dxa"/>
            <w:gridSpan w:val="3"/>
            <w:shd w:val="clear" w:color="auto" w:fill="4F81BD"/>
            <w:noWrap/>
            <w:vAlign w:val="center"/>
          </w:tcPr>
          <w:p w:rsidR="00C937FB" w:rsidRPr="00A739DC"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11</w:t>
            </w:r>
            <w:r w:rsidRPr="005E0FA6">
              <w:rPr>
                <w:rFonts w:cs="Calibri"/>
                <w:b/>
                <w:bCs/>
                <w:color w:val="000000"/>
              </w:rPr>
              <w:t xml:space="preserve"> (Fark)</w:t>
            </w:r>
          </w:p>
        </w:tc>
        <w:tc>
          <w:tcPr>
            <w:tcW w:w="1275" w:type="dxa"/>
            <w:shd w:val="clear" w:color="auto" w:fill="D3DFEE"/>
            <w:vAlign w:val="center"/>
          </w:tcPr>
          <w:p w:rsidR="00C937FB" w:rsidRPr="00FA48F6" w:rsidRDefault="00C937FB" w:rsidP="00FC1B6B">
            <w:pPr>
              <w:spacing w:after="0" w:line="240" w:lineRule="auto"/>
              <w:jc w:val="center"/>
              <w:rPr>
                <w:rFonts w:cs="Calibri"/>
                <w:bCs/>
                <w:color w:val="000000"/>
              </w:rPr>
            </w:pPr>
            <w:r>
              <w:rPr>
                <w:rFonts w:cs="Calibri"/>
                <w:bCs/>
                <w:color w:val="000000"/>
              </w:rPr>
              <w:t>5.434</w:t>
            </w:r>
          </w:p>
        </w:tc>
        <w:tc>
          <w:tcPr>
            <w:tcW w:w="1331" w:type="dxa"/>
            <w:shd w:val="clear" w:color="auto" w:fill="D3DFEE"/>
            <w:noWrap/>
            <w:vAlign w:val="center"/>
          </w:tcPr>
          <w:p w:rsidR="00C937FB" w:rsidRPr="00FA48F6" w:rsidRDefault="00C937FB" w:rsidP="00FC1B6B">
            <w:pPr>
              <w:spacing w:after="0" w:line="240" w:lineRule="auto"/>
              <w:jc w:val="center"/>
              <w:rPr>
                <w:rFonts w:cs="Calibri"/>
                <w:bCs/>
                <w:color w:val="000000"/>
              </w:rPr>
            </w:pPr>
            <w:r>
              <w:rPr>
                <w:rFonts w:cs="Calibri"/>
                <w:bCs/>
                <w:color w:val="000000"/>
              </w:rPr>
              <w:t>237.258</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Temmuz 11</w:t>
            </w:r>
            <w:r w:rsidRPr="005E0FA6">
              <w:rPr>
                <w:rFonts w:cs="Calibri"/>
                <w:b/>
                <w:bCs/>
                <w:color w:val="000000"/>
              </w:rPr>
              <w:t xml:space="preserve"> (Artış, %)</w:t>
            </w:r>
          </w:p>
        </w:tc>
        <w:tc>
          <w:tcPr>
            <w:tcW w:w="1275" w:type="dxa"/>
            <w:shd w:val="clear" w:color="auto" w:fill="D3DFEE"/>
            <w:vAlign w:val="center"/>
          </w:tcPr>
          <w:p w:rsidR="00C937FB" w:rsidRPr="00FA48F6" w:rsidRDefault="00C937FB" w:rsidP="00FC1B6B">
            <w:pPr>
              <w:spacing w:after="0" w:line="240" w:lineRule="auto"/>
              <w:jc w:val="center"/>
              <w:rPr>
                <w:rFonts w:cs="Calibri"/>
                <w:bCs/>
                <w:color w:val="000000"/>
              </w:rPr>
            </w:pPr>
            <w:r>
              <w:rPr>
                <w:rFonts w:cs="Calibri"/>
                <w:bCs/>
                <w:color w:val="000000"/>
              </w:rPr>
              <w:t>9,2</w:t>
            </w:r>
          </w:p>
        </w:tc>
        <w:tc>
          <w:tcPr>
            <w:tcW w:w="1331" w:type="dxa"/>
            <w:shd w:val="clear" w:color="auto" w:fill="D3DFEE"/>
            <w:noWrap/>
            <w:vAlign w:val="center"/>
          </w:tcPr>
          <w:p w:rsidR="00C937FB" w:rsidRPr="00FA48F6" w:rsidRDefault="00C937FB" w:rsidP="00FC1B6B">
            <w:pPr>
              <w:spacing w:after="0" w:line="240" w:lineRule="auto"/>
              <w:jc w:val="center"/>
              <w:rPr>
                <w:rFonts w:cs="Calibri"/>
                <w:bCs/>
                <w:color w:val="000000"/>
              </w:rPr>
            </w:pPr>
            <w:r>
              <w:rPr>
                <w:rFonts w:cs="Calibri"/>
                <w:bCs/>
                <w:color w:val="000000"/>
              </w:rPr>
              <w:t>9,9</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11 - Temmuz 10</w:t>
            </w:r>
            <w:r w:rsidRPr="005E0FA6">
              <w:rPr>
                <w:rFonts w:cs="Calibri"/>
                <w:b/>
                <w:bCs/>
                <w:color w:val="000000"/>
              </w:rPr>
              <w:t xml:space="preserve"> (Artış, %)</w:t>
            </w:r>
          </w:p>
        </w:tc>
        <w:tc>
          <w:tcPr>
            <w:tcW w:w="1275" w:type="dxa"/>
            <w:shd w:val="clear" w:color="auto" w:fill="D3DFEE"/>
            <w:vAlign w:val="center"/>
          </w:tcPr>
          <w:p w:rsidR="00C937FB" w:rsidRPr="00FA48F6" w:rsidRDefault="00C937FB" w:rsidP="00FC1B6B">
            <w:pPr>
              <w:spacing w:after="0" w:line="240" w:lineRule="auto"/>
              <w:jc w:val="center"/>
              <w:rPr>
                <w:rFonts w:cs="Calibri"/>
                <w:bCs/>
                <w:color w:val="000000"/>
              </w:rPr>
            </w:pPr>
            <w:r>
              <w:rPr>
                <w:rFonts w:cs="Calibri"/>
                <w:bCs/>
                <w:color w:val="000000"/>
              </w:rPr>
              <w:t>6,3</w:t>
            </w:r>
          </w:p>
        </w:tc>
        <w:tc>
          <w:tcPr>
            <w:tcW w:w="1331" w:type="dxa"/>
            <w:shd w:val="clear" w:color="auto" w:fill="D3DFEE"/>
            <w:noWrap/>
            <w:vAlign w:val="center"/>
          </w:tcPr>
          <w:p w:rsidR="00C937FB" w:rsidRPr="00FA48F6" w:rsidRDefault="00C937FB" w:rsidP="00FC1B6B">
            <w:pPr>
              <w:spacing w:after="0" w:line="240" w:lineRule="auto"/>
              <w:jc w:val="center"/>
              <w:rPr>
                <w:rFonts w:cs="Calibri"/>
                <w:bCs/>
                <w:color w:val="000000"/>
              </w:rPr>
            </w:pPr>
            <w:r>
              <w:rPr>
                <w:rFonts w:cs="Calibri"/>
                <w:bCs/>
                <w:color w:val="000000"/>
              </w:rPr>
              <w:t>6,1</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10 - Temmuz 09</w:t>
            </w:r>
            <w:r w:rsidRPr="005E0FA6">
              <w:rPr>
                <w:rFonts w:cs="Calibri"/>
                <w:b/>
                <w:bCs/>
                <w:color w:val="000000"/>
              </w:rPr>
              <w:t xml:space="preserve"> (Artış, %)</w:t>
            </w:r>
          </w:p>
        </w:tc>
        <w:tc>
          <w:tcPr>
            <w:tcW w:w="1275" w:type="dxa"/>
            <w:shd w:val="clear" w:color="auto" w:fill="D3DFEE"/>
            <w:vAlign w:val="center"/>
          </w:tcPr>
          <w:p w:rsidR="00C937FB" w:rsidRPr="00FA48F6" w:rsidRDefault="00C937FB" w:rsidP="00FC1B6B">
            <w:pPr>
              <w:spacing w:after="0" w:line="240" w:lineRule="auto"/>
              <w:jc w:val="center"/>
              <w:rPr>
                <w:rFonts w:cs="Calibri"/>
                <w:bCs/>
                <w:color w:val="000000"/>
              </w:rPr>
            </w:pPr>
            <w:r>
              <w:rPr>
                <w:rFonts w:cs="Calibri"/>
                <w:bCs/>
                <w:color w:val="000000"/>
              </w:rPr>
              <w:t>0,0</w:t>
            </w:r>
          </w:p>
        </w:tc>
        <w:tc>
          <w:tcPr>
            <w:tcW w:w="1331" w:type="dxa"/>
            <w:shd w:val="clear" w:color="auto" w:fill="D3DFEE"/>
            <w:noWrap/>
            <w:vAlign w:val="center"/>
          </w:tcPr>
          <w:p w:rsidR="00C937FB" w:rsidRPr="00FA48F6" w:rsidRDefault="00C937FB" w:rsidP="00FC1B6B">
            <w:pPr>
              <w:spacing w:after="0" w:line="240" w:lineRule="auto"/>
              <w:jc w:val="center"/>
              <w:rPr>
                <w:rFonts w:cs="Calibri"/>
                <w:bCs/>
                <w:color w:val="000000"/>
              </w:rPr>
            </w:pPr>
            <w:r>
              <w:rPr>
                <w:rFonts w:cs="Calibri"/>
                <w:bCs/>
                <w:color w:val="000000"/>
              </w:rPr>
              <w:t>-0,1</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Temmuz 09</w:t>
            </w:r>
            <w:r w:rsidRPr="005E0FA6">
              <w:rPr>
                <w:rFonts w:cs="Calibri"/>
                <w:b/>
                <w:bCs/>
                <w:color w:val="000000"/>
              </w:rPr>
              <w:t xml:space="preserve"> (Artış, %)</w:t>
            </w:r>
          </w:p>
        </w:tc>
        <w:tc>
          <w:tcPr>
            <w:tcW w:w="1275" w:type="dxa"/>
            <w:shd w:val="clear" w:color="auto" w:fill="D3DFEE"/>
            <w:vAlign w:val="center"/>
          </w:tcPr>
          <w:p w:rsidR="00C937FB" w:rsidRPr="00FA48F6" w:rsidRDefault="00C937FB" w:rsidP="00FC1B6B">
            <w:pPr>
              <w:spacing w:after="0" w:line="240" w:lineRule="auto"/>
              <w:jc w:val="center"/>
              <w:rPr>
                <w:rFonts w:cs="Calibri"/>
                <w:bCs/>
                <w:color w:val="000000"/>
              </w:rPr>
            </w:pPr>
            <w:r>
              <w:rPr>
                <w:rFonts w:cs="Calibri"/>
                <w:bCs/>
                <w:color w:val="000000"/>
              </w:rPr>
              <w:t>16,0</w:t>
            </w:r>
          </w:p>
        </w:tc>
        <w:tc>
          <w:tcPr>
            <w:tcW w:w="1331" w:type="dxa"/>
            <w:shd w:val="clear" w:color="auto" w:fill="D3DFEE"/>
            <w:noWrap/>
            <w:vAlign w:val="center"/>
          </w:tcPr>
          <w:p w:rsidR="00C937FB" w:rsidRPr="00FA48F6" w:rsidRDefault="00C937FB" w:rsidP="00FC1B6B">
            <w:pPr>
              <w:spacing w:after="0" w:line="240" w:lineRule="auto"/>
              <w:jc w:val="center"/>
              <w:rPr>
                <w:rFonts w:cs="Calibri"/>
                <w:bCs/>
                <w:color w:val="000000"/>
              </w:rPr>
            </w:pPr>
            <w:r>
              <w:rPr>
                <w:rFonts w:cs="Calibri"/>
                <w:bCs/>
                <w:color w:val="000000"/>
              </w:rPr>
              <w:t>15,6</w:t>
            </w:r>
          </w:p>
        </w:tc>
      </w:tr>
      <w:tr w:rsidR="00C937FB" w:rsidRPr="005E0FA6" w:rsidTr="00FC1B6B">
        <w:trPr>
          <w:trHeight w:val="268"/>
          <w:jc w:val="center"/>
        </w:trPr>
        <w:tc>
          <w:tcPr>
            <w:tcW w:w="6064" w:type="dxa"/>
            <w:gridSpan w:val="3"/>
            <w:shd w:val="clear" w:color="auto" w:fill="4F81BD"/>
            <w:noWrap/>
            <w:vAlign w:val="center"/>
          </w:tcPr>
          <w:p w:rsidR="00C937FB" w:rsidRPr="00837A6A" w:rsidRDefault="00C937FB" w:rsidP="00FC1B6B">
            <w:pPr>
              <w:spacing w:after="0" w:line="240" w:lineRule="auto"/>
              <w:jc w:val="center"/>
              <w:rPr>
                <w:rFonts w:cs="Calibri"/>
                <w:bCs/>
                <w:color w:val="000000"/>
              </w:rPr>
            </w:pP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Haziran 2012*</w:t>
            </w:r>
          </w:p>
        </w:tc>
        <w:tc>
          <w:tcPr>
            <w:tcW w:w="1275" w:type="dxa"/>
            <w:shd w:val="clear" w:color="auto" w:fill="D3DFEE"/>
            <w:vAlign w:val="center"/>
          </w:tcPr>
          <w:p w:rsidR="00C937FB" w:rsidRPr="008816D1" w:rsidRDefault="00C937FB" w:rsidP="00FC1B6B">
            <w:pPr>
              <w:spacing w:after="0" w:line="240" w:lineRule="auto"/>
              <w:jc w:val="center"/>
              <w:rPr>
                <w:rFonts w:cs="Calibri"/>
                <w:bCs/>
                <w:color w:val="000000"/>
              </w:rPr>
            </w:pPr>
            <w:r>
              <w:rPr>
                <w:rFonts w:cs="Calibri"/>
                <w:bCs/>
                <w:color w:val="000000"/>
              </w:rPr>
              <w:t>64.878</w:t>
            </w:r>
          </w:p>
        </w:tc>
        <w:tc>
          <w:tcPr>
            <w:tcW w:w="1331" w:type="dxa"/>
            <w:shd w:val="clear" w:color="auto" w:fill="D3DFEE"/>
            <w:noWrap/>
            <w:vAlign w:val="center"/>
          </w:tcPr>
          <w:p w:rsidR="00C937FB" w:rsidRPr="008816D1" w:rsidRDefault="00C937FB" w:rsidP="00FC1B6B">
            <w:pPr>
              <w:spacing w:after="0" w:line="240" w:lineRule="auto"/>
              <w:jc w:val="center"/>
              <w:rPr>
                <w:rFonts w:cs="Calibri"/>
                <w:bCs/>
                <w:color w:val="000000"/>
              </w:rPr>
            </w:pPr>
            <w:r>
              <w:rPr>
                <w:rFonts w:cs="Calibri"/>
                <w:bCs/>
                <w:color w:val="000000"/>
              </w:rPr>
              <w:t>2.596.158</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Default="00C937FB" w:rsidP="00FC1B6B">
            <w:pPr>
              <w:spacing w:after="0" w:line="240" w:lineRule="auto"/>
              <w:rPr>
                <w:rFonts w:cs="Calibri"/>
                <w:b/>
                <w:bCs/>
                <w:color w:val="000000"/>
              </w:rPr>
            </w:pPr>
            <w:r>
              <w:rPr>
                <w:rFonts w:cs="Calibri"/>
                <w:b/>
                <w:bCs/>
                <w:color w:val="000000"/>
              </w:rPr>
              <w:t>Temmuz 2012*</w:t>
            </w:r>
          </w:p>
        </w:tc>
        <w:tc>
          <w:tcPr>
            <w:tcW w:w="1275" w:type="dxa"/>
            <w:shd w:val="clear" w:color="auto" w:fill="D3DFEE"/>
            <w:vAlign w:val="center"/>
          </w:tcPr>
          <w:p w:rsidR="00C937FB" w:rsidRPr="008816D1" w:rsidRDefault="00C937FB" w:rsidP="00FC1B6B">
            <w:pPr>
              <w:spacing w:after="0" w:line="240" w:lineRule="auto"/>
              <w:jc w:val="center"/>
              <w:rPr>
                <w:rFonts w:cs="Calibri"/>
                <w:bCs/>
                <w:color w:val="000000"/>
              </w:rPr>
            </w:pPr>
            <w:r>
              <w:rPr>
                <w:rFonts w:cs="Calibri"/>
                <w:bCs/>
                <w:color w:val="000000"/>
              </w:rPr>
              <w:t>65.234</w:t>
            </w:r>
          </w:p>
        </w:tc>
        <w:tc>
          <w:tcPr>
            <w:tcW w:w="1331" w:type="dxa"/>
            <w:shd w:val="clear" w:color="auto" w:fill="D3DFEE"/>
            <w:noWrap/>
            <w:vAlign w:val="center"/>
          </w:tcPr>
          <w:p w:rsidR="00C937FB" w:rsidRPr="008816D1" w:rsidRDefault="00C937FB" w:rsidP="00FC1B6B">
            <w:pPr>
              <w:spacing w:after="0" w:line="240" w:lineRule="auto"/>
              <w:jc w:val="center"/>
              <w:rPr>
                <w:rFonts w:cs="Calibri"/>
                <w:bCs/>
                <w:color w:val="000000"/>
              </w:rPr>
            </w:pPr>
            <w:r>
              <w:rPr>
                <w:rFonts w:cs="Calibri"/>
                <w:bCs/>
                <w:color w:val="000000"/>
              </w:rPr>
              <w:t>2.611.842</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 12 - Haziran 12</w:t>
            </w:r>
            <w:r w:rsidRPr="005E0FA6">
              <w:rPr>
                <w:rFonts w:cs="Calibri"/>
                <w:b/>
                <w:bCs/>
                <w:color w:val="000000"/>
              </w:rPr>
              <w:t xml:space="preserve"> (Fark)</w:t>
            </w:r>
            <w:r>
              <w:rPr>
                <w:rFonts w:cs="Calibri"/>
                <w:b/>
                <w:bCs/>
                <w:color w:val="000000"/>
              </w:rPr>
              <w:t>*</w:t>
            </w:r>
          </w:p>
        </w:tc>
        <w:tc>
          <w:tcPr>
            <w:tcW w:w="1275" w:type="dxa"/>
            <w:shd w:val="clear" w:color="auto" w:fill="D3DFEE"/>
            <w:vAlign w:val="center"/>
          </w:tcPr>
          <w:p w:rsidR="00C937FB" w:rsidRPr="008816D1" w:rsidRDefault="00C937FB" w:rsidP="00FC1B6B">
            <w:pPr>
              <w:spacing w:after="0" w:line="240" w:lineRule="auto"/>
              <w:jc w:val="center"/>
              <w:rPr>
                <w:rFonts w:cs="Calibri"/>
                <w:bCs/>
                <w:color w:val="000000"/>
              </w:rPr>
            </w:pPr>
            <w:r>
              <w:rPr>
                <w:rFonts w:cs="Calibri"/>
                <w:bCs/>
                <w:color w:val="000000"/>
              </w:rPr>
              <w:t>356</w:t>
            </w:r>
          </w:p>
        </w:tc>
        <w:tc>
          <w:tcPr>
            <w:tcW w:w="1331" w:type="dxa"/>
            <w:shd w:val="clear" w:color="auto" w:fill="D3DFEE"/>
            <w:noWrap/>
            <w:vAlign w:val="center"/>
          </w:tcPr>
          <w:p w:rsidR="00C937FB" w:rsidRPr="008816D1" w:rsidRDefault="00C937FB" w:rsidP="00FC1B6B">
            <w:pPr>
              <w:spacing w:after="0" w:line="240" w:lineRule="auto"/>
              <w:jc w:val="center"/>
              <w:rPr>
                <w:rFonts w:cs="Calibri"/>
                <w:bCs/>
                <w:color w:val="000000"/>
              </w:rPr>
            </w:pPr>
            <w:r>
              <w:rPr>
                <w:rFonts w:cs="Calibri"/>
                <w:bCs/>
                <w:color w:val="000000"/>
              </w:rPr>
              <w:t>15.684</w:t>
            </w:r>
          </w:p>
        </w:tc>
      </w:tr>
      <w:tr w:rsidR="00C937FB" w:rsidRPr="005E0FA6" w:rsidTr="00FC1B6B">
        <w:trPr>
          <w:trHeight w:val="268"/>
          <w:jc w:val="center"/>
        </w:trPr>
        <w:tc>
          <w:tcPr>
            <w:tcW w:w="3458" w:type="dxa"/>
            <w:tcBorders>
              <w:right w:val="single" w:sz="24" w:space="0" w:color="FFFFFF"/>
            </w:tcBorders>
            <w:shd w:val="clear" w:color="auto" w:fill="4F81BD"/>
            <w:noWrap/>
            <w:vAlign w:val="center"/>
          </w:tcPr>
          <w:p w:rsidR="00C937FB" w:rsidRPr="005E0FA6" w:rsidRDefault="00C937FB" w:rsidP="00FC1B6B">
            <w:pPr>
              <w:spacing w:after="0" w:line="240" w:lineRule="auto"/>
              <w:rPr>
                <w:rFonts w:cs="Calibri"/>
                <w:b/>
                <w:bCs/>
                <w:color w:val="000000"/>
              </w:rPr>
            </w:pPr>
            <w:r>
              <w:rPr>
                <w:rFonts w:cs="Calibri"/>
                <w:b/>
                <w:bCs/>
                <w:color w:val="000000"/>
              </w:rPr>
              <w:t>Temmuz</w:t>
            </w:r>
            <w:r w:rsidRPr="005E0FA6">
              <w:rPr>
                <w:rFonts w:cs="Calibri"/>
                <w:b/>
                <w:bCs/>
                <w:color w:val="000000"/>
              </w:rPr>
              <w:t xml:space="preserve"> </w:t>
            </w:r>
            <w:r>
              <w:rPr>
                <w:rFonts w:cs="Calibri"/>
                <w:b/>
                <w:bCs/>
                <w:color w:val="000000"/>
              </w:rPr>
              <w:t>12 - Haziran 12</w:t>
            </w:r>
            <w:r w:rsidRPr="005E0FA6">
              <w:rPr>
                <w:rFonts w:cs="Calibri"/>
                <w:b/>
                <w:bCs/>
                <w:color w:val="000000"/>
              </w:rPr>
              <w:t xml:space="preserve"> (Artış, %)</w:t>
            </w:r>
            <w:r>
              <w:rPr>
                <w:rFonts w:cs="Calibri"/>
                <w:b/>
                <w:bCs/>
                <w:color w:val="000000"/>
              </w:rPr>
              <w:t>*</w:t>
            </w:r>
          </w:p>
        </w:tc>
        <w:tc>
          <w:tcPr>
            <w:tcW w:w="1275" w:type="dxa"/>
            <w:shd w:val="clear" w:color="auto" w:fill="D3DFEE"/>
            <w:vAlign w:val="center"/>
          </w:tcPr>
          <w:p w:rsidR="00C937FB" w:rsidRPr="008816D1" w:rsidRDefault="00C937FB" w:rsidP="00FC1B6B">
            <w:pPr>
              <w:spacing w:after="0" w:line="240" w:lineRule="auto"/>
              <w:jc w:val="center"/>
              <w:rPr>
                <w:rFonts w:cs="Calibri"/>
                <w:bCs/>
                <w:color w:val="000000"/>
              </w:rPr>
            </w:pPr>
            <w:r>
              <w:rPr>
                <w:rFonts w:cs="Calibri"/>
                <w:bCs/>
                <w:color w:val="000000"/>
              </w:rPr>
              <w:t>0,5</w:t>
            </w:r>
          </w:p>
        </w:tc>
        <w:tc>
          <w:tcPr>
            <w:tcW w:w="1331" w:type="dxa"/>
            <w:shd w:val="clear" w:color="auto" w:fill="D3DFEE"/>
            <w:noWrap/>
            <w:vAlign w:val="center"/>
          </w:tcPr>
          <w:p w:rsidR="00C937FB" w:rsidRPr="008816D1" w:rsidRDefault="00C937FB" w:rsidP="00FC1B6B">
            <w:pPr>
              <w:spacing w:after="0" w:line="240" w:lineRule="auto"/>
              <w:jc w:val="center"/>
              <w:rPr>
                <w:rFonts w:cs="Calibri"/>
                <w:bCs/>
                <w:color w:val="000000"/>
              </w:rPr>
            </w:pPr>
            <w:r>
              <w:rPr>
                <w:rFonts w:cs="Calibri"/>
                <w:bCs/>
                <w:color w:val="000000"/>
              </w:rPr>
              <w:t>0,6</w:t>
            </w:r>
          </w:p>
        </w:tc>
      </w:tr>
    </w:tbl>
    <w:p w:rsidR="00C937FB" w:rsidRDefault="00C937FB" w:rsidP="00C937FB">
      <w:pPr>
        <w:rPr>
          <w:sz w:val="24"/>
          <w:szCs w:val="24"/>
        </w:rPr>
      </w:pPr>
      <w:r>
        <w:rPr>
          <w:rFonts w:cs="Calibri"/>
          <w:b/>
          <w:bCs/>
          <w:color w:val="000000"/>
          <w:sz w:val="18"/>
        </w:rPr>
        <w:t xml:space="preserve">                       </w:t>
      </w:r>
      <w:r w:rsidRPr="007A7AFD">
        <w:rPr>
          <w:rFonts w:cs="Calibri"/>
          <w:b/>
          <w:bCs/>
          <w:color w:val="000000"/>
          <w:sz w:val="18"/>
        </w:rPr>
        <w:t>*Mevsimsellikten arındırılmış rakamlar</w:t>
      </w:r>
      <w:r w:rsidRPr="007A7AFD">
        <w:rPr>
          <w:b/>
          <w:sz w:val="12"/>
          <w:szCs w:val="16"/>
        </w:rPr>
        <w:t xml:space="preserve"> </w:t>
      </w:r>
      <w:r>
        <w:rPr>
          <w:b/>
          <w:sz w:val="12"/>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jc w:val="both"/>
        <w:rPr>
          <w:sz w:val="24"/>
          <w:szCs w:val="24"/>
        </w:rPr>
      </w:pPr>
      <w:r>
        <w:rPr>
          <w:sz w:val="24"/>
          <w:szCs w:val="24"/>
        </w:rPr>
        <w:t xml:space="preserve">Konya, kamu çalışanı sayısı en fazla olan iller arasında 5. sıradadır. Konya, 3 büyük şehrin yanı sıra Bursa’nın arkasında yer almaktadır. Konya’yı Adana, Antalya ve Diyarbakır takip etmektedir. Son 1 yıldaki kamu çalışanı artışına en fazla katkı sağlayan iller arasında ise Konya, 9. sırada yer almıştır. </w:t>
      </w:r>
    </w:p>
    <w:p w:rsidR="00C937FB" w:rsidRDefault="00C937FB" w:rsidP="00C937FB">
      <w:pPr>
        <w:jc w:val="both"/>
        <w:rPr>
          <w:sz w:val="24"/>
          <w:szCs w:val="24"/>
        </w:rPr>
      </w:pPr>
      <w:r>
        <w:rPr>
          <w:sz w:val="24"/>
          <w:szCs w:val="24"/>
        </w:rPr>
        <w:t xml:space="preserve">Temmuz 2011’den Temmuz 2012’ye kamu çalışanı sayısı değişiminde Konya, yüzde 9,2’lik artış ile 81 il arasında 47. sırada, kamu istihdamın en fazla olduğu ilk 15 il arasında ise Konya, 7. sırada gelmektedir. </w:t>
      </w:r>
    </w:p>
    <w:p w:rsidR="00C937FB" w:rsidRDefault="00C937FB" w:rsidP="00C937FB">
      <w:pPr>
        <w:jc w:val="both"/>
        <w:rPr>
          <w:sz w:val="24"/>
          <w:szCs w:val="24"/>
        </w:rPr>
      </w:pPr>
    </w:p>
    <w:p w:rsidR="00C937FB" w:rsidRDefault="00C937FB" w:rsidP="00C937FB">
      <w:pPr>
        <w:jc w:val="both"/>
        <w:rPr>
          <w:sz w:val="24"/>
          <w:szCs w:val="24"/>
        </w:rPr>
      </w:pPr>
    </w:p>
    <w:p w:rsidR="00C937FB" w:rsidRDefault="00C937FB" w:rsidP="00C937FB">
      <w:pPr>
        <w:jc w:val="both"/>
        <w:rPr>
          <w:sz w:val="24"/>
        </w:rPr>
      </w:pPr>
      <w:r>
        <w:rPr>
          <w:sz w:val="24"/>
          <w:szCs w:val="24"/>
        </w:rPr>
        <w:lastRenderedPageBreak/>
        <w:t xml:space="preserve">Türkiye ve Konya’daki kamu çalışanı (4/c) sayısı Ekim 2008’de 100 kabul edildiğinde, söz konusu değer, Temmuz 2012’de, Türkiye için 107,9 olurken Konya içinse 121,6 olmuştur. </w:t>
      </w:r>
    </w:p>
    <w:p w:rsidR="00C937FB" w:rsidRDefault="00C937FB" w:rsidP="00C937FB">
      <w:pPr>
        <w:pStyle w:val="Balk2"/>
        <w:rPr>
          <w:rFonts w:asciiTheme="minorHAnsi" w:hAnsiTheme="minorHAnsi"/>
          <w:sz w:val="24"/>
        </w:rPr>
      </w:pPr>
      <w:r w:rsidRPr="00A6496C">
        <w:rPr>
          <w:rFonts w:asciiTheme="minorHAnsi" w:hAnsiTheme="minorHAnsi"/>
          <w:sz w:val="24"/>
        </w:rPr>
        <w:t xml:space="preserve">Şekil </w:t>
      </w:r>
      <w:r>
        <w:rPr>
          <w:rFonts w:asciiTheme="minorHAnsi" w:hAnsiTheme="minorHAnsi"/>
          <w:sz w:val="24"/>
        </w:rPr>
        <w:t>6</w:t>
      </w:r>
      <w:r w:rsidRPr="00A6496C">
        <w:rPr>
          <w:rFonts w:asciiTheme="minorHAnsi" w:hAnsiTheme="minorHAnsi"/>
          <w:sz w:val="24"/>
        </w:rPr>
        <w:t xml:space="preserve">. </w:t>
      </w:r>
      <w:r>
        <w:rPr>
          <w:rFonts w:asciiTheme="minorHAnsi" w:hAnsiTheme="minorHAnsi"/>
          <w:sz w:val="24"/>
        </w:rPr>
        <w:t xml:space="preserve">Kamu Çalışanı (4/c) </w:t>
      </w:r>
      <w:r w:rsidRPr="00A6496C">
        <w:rPr>
          <w:rFonts w:asciiTheme="minorHAnsi" w:hAnsiTheme="minorHAnsi"/>
          <w:sz w:val="24"/>
        </w:rPr>
        <w:t>Sayısı</w:t>
      </w:r>
      <w:r w:rsidRPr="00F5336E">
        <w:rPr>
          <w:rFonts w:asciiTheme="minorHAnsi" w:hAnsiTheme="minorHAnsi"/>
          <w:sz w:val="24"/>
        </w:rPr>
        <w:t xml:space="preserve"> </w:t>
      </w:r>
      <w:r w:rsidRPr="00A6496C">
        <w:rPr>
          <w:rFonts w:asciiTheme="minorHAnsi" w:hAnsiTheme="minorHAnsi"/>
          <w:sz w:val="24"/>
        </w:rPr>
        <w:t>(</w:t>
      </w:r>
      <w:r>
        <w:rPr>
          <w:rFonts w:asciiTheme="minorHAnsi" w:hAnsiTheme="minorHAnsi"/>
          <w:sz w:val="24"/>
        </w:rPr>
        <w:t xml:space="preserve">Ekim 2008=100 olarak </w:t>
      </w:r>
      <w:r w:rsidRPr="00A6496C">
        <w:rPr>
          <w:rFonts w:asciiTheme="minorHAnsi" w:hAnsiTheme="minorHAnsi"/>
          <w:sz w:val="24"/>
        </w:rPr>
        <w:t>endekslenmiştir)</w:t>
      </w:r>
      <w:r>
        <w:rPr>
          <w:rFonts w:asciiTheme="minorHAnsi" w:hAnsiTheme="minorHAnsi"/>
          <w:sz w:val="24"/>
        </w:rPr>
        <w:t xml:space="preserve"> (Mevsimsellikten arındırılmış seriler)</w:t>
      </w:r>
    </w:p>
    <w:p w:rsidR="00C937FB" w:rsidRPr="008816D1" w:rsidRDefault="00C937FB" w:rsidP="00C937FB">
      <w:pPr>
        <w:spacing w:after="0"/>
      </w:pPr>
      <w:r>
        <w:rPr>
          <w:noProof/>
          <w:lang w:eastAsia="tr-TR"/>
        </w:rPr>
        <w:drawing>
          <wp:inline distT="0" distB="0" distL="0" distR="0" wp14:anchorId="421E0111" wp14:editId="141BC364">
            <wp:extent cx="5762847" cy="2498651"/>
            <wp:effectExtent l="0" t="0" r="0" b="0"/>
            <wp:docPr id="1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37FB" w:rsidRPr="007A7AFD" w:rsidRDefault="00C937FB" w:rsidP="00C937FB">
      <w:pPr>
        <w:spacing w:after="0"/>
        <w:jc w:val="both"/>
        <w:rPr>
          <w:b/>
          <w:sz w:val="18"/>
          <w:szCs w:val="16"/>
        </w:rPr>
      </w:pPr>
      <w:r>
        <w:rPr>
          <w:sz w:val="18"/>
          <w:szCs w:val="16"/>
        </w:rPr>
        <w:t xml:space="preserve">   </w:t>
      </w:r>
      <w:r w:rsidRPr="007A7AFD">
        <w:rPr>
          <w:sz w:val="18"/>
          <w:szCs w:val="16"/>
        </w:rPr>
        <w:t xml:space="preserve">                                                                                                               </w:t>
      </w:r>
      <w:r w:rsidRPr="007A7AFD">
        <w:rPr>
          <w:b/>
          <w:sz w:val="18"/>
          <w:szCs w:val="16"/>
        </w:rPr>
        <w:t>Kaynak: Sosyal Güvenlik Kurumu (SGK), KTO</w:t>
      </w:r>
      <w:r>
        <w:rPr>
          <w:b/>
          <w:sz w:val="18"/>
          <w:szCs w:val="16"/>
        </w:rPr>
        <w:t xml:space="preserve"> Hesaplamaları</w:t>
      </w:r>
    </w:p>
    <w:p w:rsidR="00C937FB" w:rsidRDefault="00C937FB" w:rsidP="00C937FB">
      <w:pPr>
        <w:spacing w:after="0"/>
      </w:pPr>
    </w:p>
    <w:p w:rsidR="00C937FB" w:rsidRDefault="00C937FB" w:rsidP="00C937FB">
      <w:pPr>
        <w:pStyle w:val="Balk1"/>
        <w:spacing w:before="0" w:after="240"/>
        <w:rPr>
          <w:rFonts w:asciiTheme="minorHAnsi" w:hAnsiTheme="minorHAnsi"/>
        </w:rPr>
      </w:pPr>
      <w:r>
        <w:rPr>
          <w:rFonts w:asciiTheme="minorHAnsi" w:hAnsiTheme="minorHAnsi"/>
        </w:rPr>
        <w:t>Konya’da işsizlik sigortasına</w:t>
      </w:r>
      <w:r w:rsidR="00055B1C">
        <w:rPr>
          <w:rFonts w:asciiTheme="minorHAnsi" w:hAnsiTheme="minorHAnsi"/>
        </w:rPr>
        <w:t xml:space="preserve"> yapılan başvuru sayısı artıyor</w:t>
      </w:r>
    </w:p>
    <w:p w:rsidR="00C937FB" w:rsidRDefault="00C937FB" w:rsidP="00C937FB">
      <w:pPr>
        <w:spacing w:after="0"/>
        <w:jc w:val="both"/>
        <w:rPr>
          <w:sz w:val="24"/>
        </w:rPr>
      </w:pPr>
      <w:r>
        <w:rPr>
          <w:sz w:val="24"/>
        </w:rPr>
        <w:t>Konya’da Temmuz 2012’de 680 kişi İŞKUR’a işsizlik sigortası ödeneği almak için başvuru yapmıştır. Geçen yıl aynı dönemde başvuru yapanların sayısı 538 iken geçen ay başvuru yapanların sayısı 596’dır. Temmuz 2012’de Konya’da işsizlik sigortası ödeneği alan kişi sayısı 423’tür. Konya’da işsizlik sigortası alanlar Türkiye’de işsizlik sigortası ödeneği alanların yüzde 1,4’ünü oluşturmaktadır. Konya, işsizlik sigortasına en fazla başvuru yapılan iller arasında 81 il içinde 13. sırada ve en fazla işsizlik sigortası ödeneği alınan iller arasında 15. sırada yer almaktadır.</w:t>
      </w:r>
    </w:p>
    <w:p w:rsidR="00C937FB" w:rsidRDefault="00C937FB" w:rsidP="00C937FB">
      <w:pPr>
        <w:jc w:val="both"/>
        <w:rPr>
          <w:sz w:val="24"/>
          <w:szCs w:val="24"/>
        </w:rPr>
      </w:pPr>
    </w:p>
    <w:p w:rsidR="0005022F" w:rsidRPr="00A474F7" w:rsidRDefault="0005022F" w:rsidP="00C937FB">
      <w:pPr>
        <w:pStyle w:val="Balk1"/>
        <w:spacing w:before="0" w:line="240" w:lineRule="auto"/>
        <w:ind w:left="7080" w:right="-1320"/>
        <w:rPr>
          <w:sz w:val="24"/>
        </w:rPr>
      </w:pPr>
    </w:p>
    <w:p w:rsidR="0060600E" w:rsidRPr="007B68D4" w:rsidRDefault="0060600E" w:rsidP="0060600E">
      <w:pPr>
        <w:tabs>
          <w:tab w:val="left" w:pos="2255"/>
        </w:tabs>
        <w:jc w:val="right"/>
        <w:rPr>
          <w:rFonts w:ascii="Calibri" w:hAnsi="Calibri" w:cs="Calibri"/>
          <w:szCs w:val="28"/>
          <w:lang w:eastAsia="tr-TR"/>
        </w:rPr>
      </w:pPr>
      <w:r w:rsidRPr="007B68D4">
        <w:rPr>
          <w:rFonts w:ascii="Calibri" w:hAnsi="Calibri" w:cs="Calibri"/>
          <w:b/>
          <w:sz w:val="16"/>
          <w:szCs w:val="16"/>
        </w:rPr>
        <w:t xml:space="preserve">                                                                                                            </w:t>
      </w:r>
    </w:p>
    <w:p w:rsidR="0060600E" w:rsidRPr="007B68D4" w:rsidRDefault="0060600E" w:rsidP="0060600E">
      <w:pPr>
        <w:rPr>
          <w:rFonts w:ascii="Calibri" w:hAnsi="Calibri" w:cs="Calibri"/>
        </w:rPr>
      </w:pPr>
    </w:p>
    <w:p w:rsidR="0060600E" w:rsidRPr="007B68D4" w:rsidRDefault="0060600E" w:rsidP="0060600E">
      <w:pPr>
        <w:spacing w:line="360" w:lineRule="auto"/>
        <w:rPr>
          <w:rFonts w:ascii="Calibri" w:hAnsi="Calibri" w:cs="Calibri"/>
        </w:rPr>
        <w:sectPr w:rsidR="0060600E" w:rsidRPr="007B68D4" w:rsidSect="002A470B">
          <w:headerReference w:type="default" r:id="rId32"/>
          <w:footerReference w:type="default" r:id="rId33"/>
          <w:pgSz w:w="11906" w:h="16838"/>
          <w:pgMar w:top="1417" w:right="1417" w:bottom="1417" w:left="1417" w:header="113" w:footer="567" w:gutter="0"/>
          <w:cols w:space="708"/>
          <w:docGrid w:linePitch="360"/>
        </w:sectPr>
      </w:pPr>
    </w:p>
    <w:p w:rsidR="003E1B5C" w:rsidRPr="003127E7" w:rsidRDefault="00A535A1" w:rsidP="003E1B5C">
      <w:pPr>
        <w:pStyle w:val="Balk1"/>
        <w:spacing w:before="0" w:line="240" w:lineRule="auto"/>
        <w:ind w:left="7080" w:right="-1320"/>
        <w:rPr>
          <w:rFonts w:asciiTheme="minorHAnsi" w:hAnsiTheme="minorHAnsi" w:cs="Arial"/>
          <w:color w:val="002060"/>
        </w:rPr>
      </w:pPr>
      <w:r>
        <w:rPr>
          <w:rFonts w:asciiTheme="minorHAnsi" w:hAnsiTheme="minorHAnsi" w:cstheme="minorHAnsi"/>
          <w:color w:val="002060"/>
          <w:sz w:val="36"/>
        </w:rPr>
        <w:lastRenderedPageBreak/>
        <w:t xml:space="preserve">  </w:t>
      </w:r>
      <w:r w:rsidR="0099569A">
        <w:rPr>
          <w:rFonts w:asciiTheme="minorHAnsi" w:hAnsiTheme="minorHAnsi" w:cstheme="minorHAnsi"/>
          <w:color w:val="002060"/>
          <w:sz w:val="36"/>
        </w:rPr>
        <w:t xml:space="preserve">   </w:t>
      </w:r>
      <w:r w:rsidR="003E1B5C" w:rsidRPr="003127E7">
        <w:rPr>
          <w:rFonts w:asciiTheme="minorHAnsi" w:hAnsiTheme="minorHAnsi" w:cs="Arial"/>
          <w:color w:val="002060"/>
          <w:sz w:val="36"/>
        </w:rPr>
        <w:t>HABER BÜLTENİ</w:t>
      </w:r>
    </w:p>
    <w:p w:rsidR="003E1B5C" w:rsidRPr="00AD7D54" w:rsidRDefault="003E1B5C" w:rsidP="003E1B5C">
      <w:pPr>
        <w:pStyle w:val="Balk1"/>
        <w:spacing w:before="0" w:line="240" w:lineRule="auto"/>
        <w:ind w:right="-1200"/>
        <w:rPr>
          <w:rFonts w:asciiTheme="minorHAnsi" w:hAnsiTheme="minorHAnsi" w:cs="Arial"/>
          <w:color w:val="002060"/>
        </w:rPr>
      </w:pPr>
      <w:r>
        <w:rPr>
          <w:b w:val="0"/>
          <w:noProof/>
          <w:lang w:eastAsia="tr-TR"/>
        </w:rPr>
        <mc:AlternateContent>
          <mc:Choice Requires="wps">
            <w:drawing>
              <wp:anchor distT="0" distB="0" distL="114300" distR="114300" simplePos="0" relativeHeight="251681792" behindDoc="0" locked="0" layoutInCell="1" allowOverlap="1" wp14:anchorId="7314EB07" wp14:editId="0489575E">
                <wp:simplePos x="0" y="0"/>
                <wp:positionH relativeFrom="column">
                  <wp:posOffset>-856615</wp:posOffset>
                </wp:positionH>
                <wp:positionV relativeFrom="paragraph">
                  <wp:posOffset>19050</wp:posOffset>
                </wp:positionV>
                <wp:extent cx="5662295" cy="0"/>
                <wp:effectExtent l="33655" t="36195" r="28575" b="304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2295" cy="0"/>
                        </a:xfrm>
                        <a:prstGeom prst="straightConnector1">
                          <a:avLst/>
                        </a:prstGeom>
                        <a:noFill/>
                        <a:ln w="571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7.45pt;margin-top:1.5pt;width:445.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" strokecolor="#002060" strokeweight="4.5pt"/>
            </w:pict>
          </mc:Fallback>
        </mc:AlternateContent>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r>
      <w:r w:rsidRPr="003127E7">
        <w:rPr>
          <w:rFonts w:asciiTheme="minorHAnsi" w:hAnsiTheme="minorHAnsi" w:cs="Arial"/>
        </w:rPr>
        <w:tab/>
        <w:t xml:space="preserve">  </w:t>
      </w:r>
      <w:r w:rsidRPr="003127E7">
        <w:rPr>
          <w:rFonts w:asciiTheme="minorHAnsi" w:hAnsiTheme="minorHAnsi" w:cs="Arial"/>
          <w:sz w:val="24"/>
        </w:rPr>
        <w:t xml:space="preserve"> </w:t>
      </w:r>
      <w:r>
        <w:rPr>
          <w:rFonts w:asciiTheme="minorHAnsi" w:hAnsiTheme="minorHAnsi" w:cs="Arial"/>
          <w:sz w:val="24"/>
        </w:rPr>
        <w:t xml:space="preserve">           </w:t>
      </w:r>
      <w:r w:rsidR="00F11B70">
        <w:rPr>
          <w:rFonts w:asciiTheme="minorHAnsi" w:hAnsiTheme="minorHAnsi" w:cs="Arial"/>
          <w:color w:val="002060"/>
        </w:rPr>
        <w:t>08</w:t>
      </w:r>
      <w:bookmarkStart w:id="4" w:name="_GoBack"/>
      <w:bookmarkEnd w:id="4"/>
      <w:r w:rsidRPr="003127E7">
        <w:rPr>
          <w:rFonts w:asciiTheme="minorHAnsi" w:hAnsiTheme="minorHAnsi" w:cs="Arial"/>
          <w:color w:val="002060"/>
        </w:rPr>
        <w:t>.</w:t>
      </w:r>
      <w:r>
        <w:rPr>
          <w:rFonts w:asciiTheme="minorHAnsi" w:hAnsiTheme="minorHAnsi" w:cs="Arial"/>
          <w:color w:val="002060"/>
        </w:rPr>
        <w:t>11.2012</w:t>
      </w:r>
      <w:r>
        <w:rPr>
          <w:rFonts w:asciiTheme="minorHAnsi" w:hAnsiTheme="minorHAnsi" w:cs="Arial"/>
          <w:color w:val="002060"/>
        </w:rPr>
        <w:tab/>
        <w:t xml:space="preserve">     </w:t>
      </w:r>
      <w:r w:rsidRPr="003127E7">
        <w:rPr>
          <w:rFonts w:asciiTheme="minorHAnsi" w:hAnsiTheme="minorHAnsi" w:cs="Arial"/>
          <w:color w:val="002060"/>
        </w:rPr>
        <w:t xml:space="preserve">Sayı </w:t>
      </w:r>
      <w:r>
        <w:rPr>
          <w:rFonts w:asciiTheme="minorHAnsi" w:hAnsiTheme="minorHAnsi" w:cs="Arial"/>
          <w:color w:val="002060"/>
        </w:rPr>
        <w:t>8</w:t>
      </w:r>
    </w:p>
    <w:p w:rsidR="003E1B5C" w:rsidRDefault="003E1B5C" w:rsidP="003E1B5C">
      <w:pPr>
        <w:spacing w:before="120" w:after="120"/>
        <w:jc w:val="both"/>
        <w:rPr>
          <w:sz w:val="24"/>
        </w:rPr>
      </w:pPr>
      <w:r w:rsidRPr="000F08B4">
        <w:rPr>
          <w:sz w:val="24"/>
        </w:rPr>
        <w:t>Konya Ticaret Odası (KTO)</w:t>
      </w:r>
      <w:r>
        <w:rPr>
          <w:sz w:val="24"/>
        </w:rPr>
        <w:t xml:space="preserve"> tarafından</w:t>
      </w:r>
      <w:r w:rsidRPr="000F08B4">
        <w:rPr>
          <w:sz w:val="24"/>
        </w:rPr>
        <w:t xml:space="preserve"> </w:t>
      </w:r>
      <w:r>
        <w:rPr>
          <w:sz w:val="24"/>
        </w:rPr>
        <w:t>Türkiye İstatistik Kurumu (TUİK) ve Türkiye İhracatçılar Meclisi (TİM)’</w:t>
      </w:r>
      <w:proofErr w:type="spellStart"/>
      <w:r>
        <w:rPr>
          <w:sz w:val="24"/>
        </w:rPr>
        <w:t>nden</w:t>
      </w:r>
      <w:proofErr w:type="spellEnd"/>
      <w:r>
        <w:rPr>
          <w:sz w:val="24"/>
        </w:rPr>
        <w:t xml:space="preserve"> alınan verilere dayalı olarak Konya’nın dış ticaretinin durumu “Konya Dış Ticaret Bülteni” adıyla yayınlanmaktadır. </w:t>
      </w:r>
    </w:p>
    <w:p w:rsidR="003E1B5C" w:rsidRDefault="003E1B5C" w:rsidP="003E1B5C">
      <w:pPr>
        <w:spacing w:before="120" w:after="120"/>
        <w:jc w:val="both"/>
        <w:rPr>
          <w:sz w:val="24"/>
        </w:rPr>
      </w:pPr>
      <w:r w:rsidRPr="00623943">
        <w:rPr>
          <w:sz w:val="24"/>
        </w:rPr>
        <w:t>Konya İli Dış Ticaret Bülteni ile hedefimiz, Konya’nın dış ticaret durumunu güncel veriler ışığında izleyerek analiz etmek ve bunu ülkemizin dış ticaret durumu ile kıyaslayabilmektir.</w:t>
      </w:r>
    </w:p>
    <w:p w:rsidR="003E1B5C" w:rsidRPr="00C31227" w:rsidRDefault="003E1B5C" w:rsidP="003E1B5C">
      <w:pPr>
        <w:spacing w:before="240" w:after="240"/>
        <w:jc w:val="both"/>
        <w:rPr>
          <w:b/>
          <w:color w:val="4F81BD" w:themeColor="accent1"/>
          <w:sz w:val="28"/>
        </w:rPr>
      </w:pPr>
      <w:r>
        <w:rPr>
          <w:b/>
          <w:color w:val="4F81BD" w:themeColor="accent1"/>
          <w:sz w:val="28"/>
        </w:rPr>
        <w:t xml:space="preserve">Ağustos ayında düşüşe geçen ihracatımız </w:t>
      </w:r>
      <w:r w:rsidRPr="00D20E90">
        <w:rPr>
          <w:b/>
          <w:color w:val="4F81BD" w:themeColor="accent1"/>
          <w:sz w:val="28"/>
          <w:u w:val="single"/>
        </w:rPr>
        <w:t>Eylül</w:t>
      </w:r>
      <w:r>
        <w:rPr>
          <w:b/>
          <w:color w:val="4F81BD" w:themeColor="accent1"/>
          <w:sz w:val="28"/>
        </w:rPr>
        <w:t xml:space="preserve"> </w:t>
      </w:r>
      <w:r w:rsidRPr="00D20E90">
        <w:rPr>
          <w:b/>
          <w:color w:val="4F81BD" w:themeColor="accent1"/>
          <w:sz w:val="28"/>
        </w:rPr>
        <w:t>ayında</w:t>
      </w:r>
      <w:r w:rsidRPr="00C31227">
        <w:rPr>
          <w:b/>
          <w:color w:val="4F81BD" w:themeColor="accent1"/>
          <w:sz w:val="28"/>
        </w:rPr>
        <w:t xml:space="preserve"> </w:t>
      </w:r>
      <w:r>
        <w:rPr>
          <w:b/>
          <w:color w:val="4F81BD" w:themeColor="accent1"/>
          <w:sz w:val="28"/>
        </w:rPr>
        <w:t>yeniden yükseldi ve geçen yıla göre</w:t>
      </w:r>
      <w:r w:rsidRPr="00C31227">
        <w:rPr>
          <w:b/>
          <w:color w:val="4F81BD" w:themeColor="accent1"/>
          <w:sz w:val="28"/>
        </w:rPr>
        <w:t xml:space="preserve"> %</w:t>
      </w:r>
      <w:r>
        <w:rPr>
          <w:b/>
          <w:color w:val="4F81BD" w:themeColor="accent1"/>
          <w:sz w:val="28"/>
        </w:rPr>
        <w:t>14,8</w:t>
      </w:r>
      <w:r w:rsidRPr="00C31227">
        <w:rPr>
          <w:b/>
          <w:color w:val="4F81BD" w:themeColor="accent1"/>
          <w:sz w:val="28"/>
        </w:rPr>
        <w:t xml:space="preserve"> oranında </w:t>
      </w:r>
      <w:r w:rsidRPr="00EA5E6F">
        <w:rPr>
          <w:b/>
          <w:color w:val="4F81BD" w:themeColor="accent1"/>
          <w:sz w:val="28"/>
          <w:u w:val="single"/>
        </w:rPr>
        <w:t>a</w:t>
      </w:r>
      <w:r>
        <w:rPr>
          <w:b/>
          <w:color w:val="4F81BD" w:themeColor="accent1"/>
          <w:sz w:val="28"/>
          <w:u w:val="single"/>
        </w:rPr>
        <w:t>rttı</w:t>
      </w:r>
      <w:r w:rsidRPr="00C31227">
        <w:rPr>
          <w:b/>
          <w:color w:val="4F81BD" w:themeColor="accent1"/>
          <w:sz w:val="28"/>
        </w:rPr>
        <w:t>.</w:t>
      </w:r>
    </w:p>
    <w:p w:rsidR="003E1B5C" w:rsidRDefault="003E1B5C" w:rsidP="003E1B5C">
      <w:pPr>
        <w:spacing w:before="120" w:after="120"/>
        <w:jc w:val="both"/>
        <w:rPr>
          <w:sz w:val="24"/>
        </w:rPr>
      </w:pPr>
      <w:r>
        <w:rPr>
          <w:sz w:val="24"/>
        </w:rPr>
        <w:t>Konya, 2012 yılının Ocak-Eylül döneminde toplam 969.568 milyon dolarlık ihracat gerçekleştirirken, geçen yılın aynı dönemine göre artış oranı ise %8,6 olmuştur.</w:t>
      </w:r>
    </w:p>
    <w:p w:rsidR="003E1B5C" w:rsidRDefault="003E1B5C" w:rsidP="003E1B5C">
      <w:pPr>
        <w:spacing w:before="120" w:after="120"/>
        <w:jc w:val="both"/>
        <w:rPr>
          <w:sz w:val="24"/>
        </w:rPr>
      </w:pPr>
      <w:r w:rsidRPr="00172F38">
        <w:rPr>
          <w:sz w:val="24"/>
        </w:rPr>
        <w:t>Aynı dönemde ithalatımız</w:t>
      </w:r>
      <w:r>
        <w:rPr>
          <w:sz w:val="24"/>
        </w:rPr>
        <w:t xml:space="preserve"> ise</w:t>
      </w:r>
      <w:r w:rsidRPr="00172F38">
        <w:rPr>
          <w:sz w:val="24"/>
        </w:rPr>
        <w:t xml:space="preserve"> %</w:t>
      </w:r>
      <w:proofErr w:type="gramStart"/>
      <w:r>
        <w:rPr>
          <w:sz w:val="24"/>
        </w:rPr>
        <w:t>0.2</w:t>
      </w:r>
      <w:proofErr w:type="gramEnd"/>
      <w:r w:rsidRPr="00172F38">
        <w:rPr>
          <w:sz w:val="24"/>
        </w:rPr>
        <w:t xml:space="preserve"> oranında </w:t>
      </w:r>
      <w:r>
        <w:rPr>
          <w:sz w:val="24"/>
        </w:rPr>
        <w:t>artarak</w:t>
      </w:r>
      <w:r w:rsidRPr="00172F38">
        <w:rPr>
          <w:sz w:val="24"/>
        </w:rPr>
        <w:t xml:space="preserve"> </w:t>
      </w:r>
      <w:r>
        <w:rPr>
          <w:sz w:val="24"/>
        </w:rPr>
        <w:t>879.778</w:t>
      </w:r>
      <w:r w:rsidRPr="00172F38">
        <w:rPr>
          <w:sz w:val="24"/>
        </w:rPr>
        <w:t xml:space="preserve"> milyon dolar olarak gerçekleşmiştir.</w:t>
      </w:r>
      <w:r>
        <w:rPr>
          <w:sz w:val="24"/>
        </w:rPr>
        <w:t xml:space="preserve"> Eylül ayı ile birlikte ithalat oranı geçen yıla göre yeniden yükselişe geçmiştir.</w:t>
      </w:r>
    </w:p>
    <w:p w:rsidR="003E1B5C" w:rsidRPr="00055B1C" w:rsidRDefault="003E1B5C" w:rsidP="00055B1C">
      <w:pPr>
        <w:spacing w:before="120" w:after="120"/>
        <w:jc w:val="both"/>
        <w:rPr>
          <w:sz w:val="24"/>
        </w:rPr>
      </w:pPr>
      <w:r w:rsidRPr="00055B1C">
        <w:rPr>
          <w:sz w:val="24"/>
        </w:rPr>
        <w:t>Konya 2012 yılının Ocak-</w:t>
      </w:r>
      <w:r w:rsidR="00EF5C37">
        <w:rPr>
          <w:sz w:val="24"/>
        </w:rPr>
        <w:t>Eylül</w:t>
      </w:r>
      <w:r w:rsidRPr="00055B1C">
        <w:rPr>
          <w:sz w:val="24"/>
        </w:rPr>
        <w:t xml:space="preserve"> döneminde yaklaşık 90 milyon dolar dış ticaret fazlası vermiştir.</w:t>
      </w:r>
    </w:p>
    <w:p w:rsidR="003E1B5C" w:rsidRDefault="003E1B5C" w:rsidP="003E1B5C">
      <w:pPr>
        <w:spacing w:before="120" w:after="120"/>
        <w:jc w:val="both"/>
        <w:rPr>
          <w:sz w:val="24"/>
        </w:rPr>
      </w:pPr>
      <w:r>
        <w:rPr>
          <w:sz w:val="24"/>
        </w:rPr>
        <w:t>Yılın ilk dokuz ayında ihracatın ithalatı karşılama oranı %</w:t>
      </w:r>
      <w:proofErr w:type="gramStart"/>
      <w:r>
        <w:rPr>
          <w:sz w:val="24"/>
        </w:rPr>
        <w:t>110.2</w:t>
      </w:r>
      <w:proofErr w:type="gramEnd"/>
      <w:r>
        <w:rPr>
          <w:sz w:val="24"/>
        </w:rPr>
        <w:t xml:space="preserve"> olurken, bu rakam 2011 yılının aynı döneminde %101.7’dir. Burada </w:t>
      </w:r>
      <w:proofErr w:type="gramStart"/>
      <w:r>
        <w:rPr>
          <w:sz w:val="24"/>
        </w:rPr>
        <w:t>8.5</w:t>
      </w:r>
      <w:proofErr w:type="gramEnd"/>
      <w:r>
        <w:rPr>
          <w:sz w:val="24"/>
        </w:rPr>
        <w:t xml:space="preserve"> puanlık bir artış olmuştur.</w:t>
      </w:r>
    </w:p>
    <w:p w:rsidR="003E1B5C" w:rsidRPr="00AC46E0" w:rsidRDefault="003E1B5C" w:rsidP="003E1B5C">
      <w:pPr>
        <w:spacing w:before="120" w:after="120"/>
        <w:jc w:val="both"/>
        <w:rPr>
          <w:sz w:val="8"/>
          <w:szCs w:val="8"/>
        </w:rPr>
      </w:pPr>
    </w:p>
    <w:p w:rsidR="003E1B5C" w:rsidRPr="00172F38" w:rsidRDefault="003E1B5C" w:rsidP="003E1B5C">
      <w:pPr>
        <w:jc w:val="center"/>
        <w:rPr>
          <w:sz w:val="24"/>
        </w:rPr>
      </w:pPr>
      <w:r>
        <w:rPr>
          <w:noProof/>
          <w:lang w:eastAsia="tr-TR"/>
        </w:rPr>
        <w:drawing>
          <wp:inline distT="0" distB="0" distL="0" distR="0" wp14:anchorId="23E97350" wp14:editId="4DF98673">
            <wp:extent cx="4876800" cy="3076575"/>
            <wp:effectExtent l="0" t="0" r="19050" b="952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E1B5C" w:rsidRPr="001E2255" w:rsidRDefault="003E1B5C" w:rsidP="003E1B5C">
      <w:pPr>
        <w:spacing w:after="100" w:afterAutospacing="1" w:line="240" w:lineRule="auto"/>
        <w:ind w:firstLine="709"/>
        <w:jc w:val="both"/>
        <w:rPr>
          <w:sz w:val="16"/>
          <w:szCs w:val="16"/>
        </w:rPr>
      </w:pPr>
      <w:r w:rsidRPr="001E2255">
        <w:rPr>
          <w:b/>
          <w:sz w:val="16"/>
          <w:szCs w:val="16"/>
        </w:rPr>
        <w:t>Kaynak:</w:t>
      </w:r>
      <w:r w:rsidRPr="001E2255">
        <w:rPr>
          <w:sz w:val="16"/>
          <w:szCs w:val="16"/>
        </w:rPr>
        <w:t xml:space="preserve"> TÜİK, TİM</w:t>
      </w:r>
    </w:p>
    <w:p w:rsidR="00055B1C" w:rsidRDefault="00055B1C" w:rsidP="003E1B5C">
      <w:pPr>
        <w:spacing w:before="120" w:after="120"/>
        <w:jc w:val="both"/>
        <w:rPr>
          <w:sz w:val="24"/>
        </w:rPr>
      </w:pPr>
    </w:p>
    <w:p w:rsidR="003E1B5C" w:rsidRDefault="003E1B5C" w:rsidP="003E1B5C">
      <w:pPr>
        <w:spacing w:before="120" w:after="120"/>
        <w:jc w:val="both"/>
        <w:rPr>
          <w:b/>
          <w:color w:val="4F81BD" w:themeColor="accent1"/>
          <w:sz w:val="28"/>
        </w:rPr>
      </w:pPr>
      <w:r>
        <w:rPr>
          <w:sz w:val="24"/>
        </w:rPr>
        <w:lastRenderedPageBreak/>
        <w:t>2012 yılının Ocak-Eylül döneminde ü</w:t>
      </w:r>
      <w:r w:rsidRPr="004E1396">
        <w:rPr>
          <w:sz w:val="24"/>
        </w:rPr>
        <w:t>lkem</w:t>
      </w:r>
      <w:r>
        <w:rPr>
          <w:sz w:val="24"/>
        </w:rPr>
        <w:t xml:space="preserve">izin ihracatı bir önceki yılın aynı dönemine göre %13,6 oranında artarak 113.022 milyar dolar olarak gerçekleşmiştir. Aynı dönemde Konya’nın ihracat artışı %8,6 oranında artış göstererek 969.568 milyon dolar olarak gerçekleşmiştir. </w:t>
      </w:r>
    </w:p>
    <w:p w:rsidR="003E1B5C" w:rsidRPr="00062B97" w:rsidRDefault="003E1B5C" w:rsidP="003E1B5C">
      <w:pPr>
        <w:spacing w:before="120" w:after="120"/>
        <w:jc w:val="both"/>
        <w:rPr>
          <w:b/>
          <w:sz w:val="24"/>
        </w:rPr>
      </w:pPr>
      <w:r>
        <w:rPr>
          <w:b/>
          <w:sz w:val="24"/>
        </w:rPr>
        <w:t>TABLO 1. TÜRKİYE-KONYA KARŞILAŞTIRMALI DIŞ TİCARET İSTATİSTİKLERİ (Ocak-Eylül 2012)</w:t>
      </w:r>
      <w:r w:rsidRPr="005541BB">
        <w:rPr>
          <w:b/>
          <w:sz w:val="24"/>
        </w:rPr>
        <w:t xml:space="preserve"> </w:t>
      </w:r>
    </w:p>
    <w:tbl>
      <w:tblPr>
        <w:tblW w:w="9149" w:type="dxa"/>
        <w:jc w:val="center"/>
        <w:tblCellMar>
          <w:left w:w="70" w:type="dxa"/>
          <w:right w:w="70" w:type="dxa"/>
        </w:tblCellMar>
        <w:tblLook w:val="04A0" w:firstRow="1" w:lastRow="0" w:firstColumn="1" w:lastColumn="0" w:noHBand="0" w:noVBand="1"/>
      </w:tblPr>
      <w:tblGrid>
        <w:gridCol w:w="1399"/>
        <w:gridCol w:w="1324"/>
        <w:gridCol w:w="1285"/>
        <w:gridCol w:w="1560"/>
        <w:gridCol w:w="1528"/>
        <w:gridCol w:w="2053"/>
      </w:tblGrid>
      <w:tr w:rsidR="003E1B5C" w:rsidRPr="00062B97" w:rsidTr="00FC1B6B">
        <w:trPr>
          <w:trHeight w:val="615"/>
          <w:jc w:val="center"/>
        </w:trPr>
        <w:tc>
          <w:tcPr>
            <w:tcW w:w="1399"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3E1B5C" w:rsidRPr="00062B97" w:rsidRDefault="003E1B5C" w:rsidP="00FC1B6B">
            <w:pPr>
              <w:spacing w:after="0" w:line="240" w:lineRule="auto"/>
              <w:jc w:val="center"/>
              <w:rPr>
                <w:rFonts w:ascii="Arial" w:eastAsia="Times New Roman" w:hAnsi="Arial" w:cs="Arial"/>
                <w:b/>
                <w:bCs/>
                <w:color w:val="FFFFFF" w:themeColor="background1"/>
                <w:sz w:val="24"/>
                <w:szCs w:val="28"/>
              </w:rPr>
            </w:pPr>
            <w:r w:rsidRPr="00062B97">
              <w:rPr>
                <w:rFonts w:ascii="Arial" w:eastAsia="Times New Roman" w:hAnsi="Arial" w:cs="Arial"/>
                <w:b/>
                <w:bCs/>
                <w:color w:val="FFFFFF" w:themeColor="background1"/>
                <w:sz w:val="24"/>
                <w:szCs w:val="28"/>
              </w:rPr>
              <w:t> </w:t>
            </w:r>
          </w:p>
        </w:tc>
        <w:tc>
          <w:tcPr>
            <w:tcW w:w="1324"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3E1B5C" w:rsidRDefault="003E1B5C" w:rsidP="00FC1B6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İhracat</w:t>
            </w:r>
          </w:p>
          <w:p w:rsidR="003E1B5C" w:rsidRPr="00062B97" w:rsidRDefault="003E1B5C" w:rsidP="00FC1B6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1285"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3E1B5C" w:rsidRDefault="003E1B5C" w:rsidP="00FC1B6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İthalat</w:t>
            </w:r>
          </w:p>
          <w:p w:rsidR="003E1B5C" w:rsidRPr="00062B97" w:rsidRDefault="003E1B5C" w:rsidP="00FC1B6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3E1B5C" w:rsidRPr="00062B97" w:rsidRDefault="003E1B5C" w:rsidP="00FC1B6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 xml:space="preserve">Dış Ticaret </w:t>
            </w:r>
          </w:p>
          <w:p w:rsidR="003E1B5C" w:rsidRDefault="003E1B5C" w:rsidP="00FC1B6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Dengesi</w:t>
            </w:r>
          </w:p>
          <w:p w:rsidR="003E1B5C" w:rsidRPr="00062B97" w:rsidRDefault="003E1B5C" w:rsidP="00FC1B6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1528"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3E1B5C" w:rsidRDefault="003E1B5C" w:rsidP="00FC1B6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Dış Ticaret Hacmi</w:t>
            </w:r>
          </w:p>
          <w:p w:rsidR="003E1B5C" w:rsidRPr="00062B97" w:rsidRDefault="003E1B5C" w:rsidP="00FC1B6B">
            <w:pPr>
              <w:spacing w:after="0" w:line="240" w:lineRule="auto"/>
              <w:jc w:val="center"/>
              <w:rPr>
                <w:rFonts w:ascii="Calibri" w:eastAsia="Times New Roman" w:hAnsi="Calibri" w:cs="Calibri"/>
                <w:b/>
                <w:color w:val="FFFFFF" w:themeColor="background1"/>
                <w:sz w:val="24"/>
              </w:rPr>
            </w:pPr>
            <w:r>
              <w:rPr>
                <w:rFonts w:ascii="Calibri" w:eastAsia="Times New Roman" w:hAnsi="Calibri" w:cs="Calibri"/>
                <w:b/>
                <w:color w:val="FFFFFF" w:themeColor="background1"/>
                <w:sz w:val="24"/>
              </w:rPr>
              <w:t>(milyon $)</w:t>
            </w:r>
          </w:p>
        </w:tc>
        <w:tc>
          <w:tcPr>
            <w:tcW w:w="2053" w:type="dxa"/>
            <w:tcBorders>
              <w:top w:val="single" w:sz="4" w:space="0" w:color="auto"/>
              <w:left w:val="nil"/>
              <w:bottom w:val="single" w:sz="4" w:space="0" w:color="auto"/>
              <w:right w:val="single" w:sz="4" w:space="0" w:color="auto"/>
            </w:tcBorders>
            <w:shd w:val="clear" w:color="auto" w:fill="4F81BD" w:themeFill="accent1"/>
            <w:vAlign w:val="center"/>
            <w:hideMark/>
          </w:tcPr>
          <w:p w:rsidR="003E1B5C" w:rsidRPr="00062B97" w:rsidRDefault="003E1B5C" w:rsidP="00FC1B6B">
            <w:pPr>
              <w:spacing w:after="0" w:line="240" w:lineRule="auto"/>
              <w:jc w:val="center"/>
              <w:rPr>
                <w:rFonts w:ascii="Calibri" w:eastAsia="Times New Roman" w:hAnsi="Calibri" w:cs="Calibri"/>
                <w:b/>
                <w:color w:val="FFFFFF" w:themeColor="background1"/>
                <w:sz w:val="24"/>
              </w:rPr>
            </w:pPr>
            <w:r w:rsidRPr="00062B97">
              <w:rPr>
                <w:rFonts w:ascii="Calibri" w:eastAsia="Times New Roman" w:hAnsi="Calibri" w:cs="Calibri"/>
                <w:b/>
                <w:color w:val="FFFFFF" w:themeColor="background1"/>
                <w:sz w:val="24"/>
              </w:rPr>
              <w:t>İhracatın İthalatı Karşılama Oranı (%)</w:t>
            </w:r>
          </w:p>
        </w:tc>
      </w:tr>
      <w:tr w:rsidR="003E1B5C" w:rsidRPr="00062B97" w:rsidTr="00FC1B6B">
        <w:trPr>
          <w:trHeight w:hRule="exact" w:val="303"/>
          <w:jc w:val="center"/>
        </w:trPr>
        <w:tc>
          <w:tcPr>
            <w:tcW w:w="139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3E1B5C" w:rsidRPr="00062B97" w:rsidRDefault="003E1B5C" w:rsidP="00FC1B6B">
            <w:pPr>
              <w:spacing w:after="0" w:line="240" w:lineRule="auto"/>
              <w:rPr>
                <w:rFonts w:ascii="Calibri" w:eastAsia="Times New Roman" w:hAnsi="Calibri" w:cs="Calibri"/>
                <w:color w:val="000000"/>
                <w:sz w:val="24"/>
              </w:rPr>
            </w:pPr>
            <w:r w:rsidRPr="00062B97">
              <w:rPr>
                <w:rFonts w:ascii="Calibri" w:eastAsia="Times New Roman" w:hAnsi="Calibri" w:cs="Calibri"/>
                <w:color w:val="000000"/>
                <w:sz w:val="24"/>
              </w:rPr>
              <w:t>Türkiye</w:t>
            </w:r>
          </w:p>
        </w:tc>
        <w:tc>
          <w:tcPr>
            <w:tcW w:w="1324"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113.022</w:t>
            </w:r>
          </w:p>
        </w:tc>
        <w:tc>
          <w:tcPr>
            <w:tcW w:w="1285" w:type="dxa"/>
            <w:tcBorders>
              <w:top w:val="nil"/>
              <w:left w:val="nil"/>
              <w:bottom w:val="single" w:sz="4" w:space="0" w:color="auto"/>
              <w:right w:val="single" w:sz="4" w:space="0" w:color="auto"/>
            </w:tcBorders>
            <w:shd w:val="clear" w:color="auto" w:fill="auto"/>
            <w:noWrap/>
            <w:vAlign w:val="center"/>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176.500</w:t>
            </w:r>
          </w:p>
        </w:tc>
        <w:tc>
          <w:tcPr>
            <w:tcW w:w="1560"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-63.478</w:t>
            </w:r>
          </w:p>
        </w:tc>
        <w:tc>
          <w:tcPr>
            <w:tcW w:w="1528"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289.522</w:t>
            </w:r>
          </w:p>
        </w:tc>
        <w:tc>
          <w:tcPr>
            <w:tcW w:w="2053"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%64</w:t>
            </w:r>
          </w:p>
        </w:tc>
      </w:tr>
      <w:tr w:rsidR="003E1B5C" w:rsidRPr="00062B97" w:rsidTr="00FC1B6B">
        <w:trPr>
          <w:trHeight w:hRule="exact" w:val="293"/>
          <w:jc w:val="center"/>
        </w:trPr>
        <w:tc>
          <w:tcPr>
            <w:tcW w:w="1399"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3E1B5C" w:rsidRPr="00062B97" w:rsidRDefault="003E1B5C" w:rsidP="00FC1B6B">
            <w:pPr>
              <w:spacing w:after="0" w:line="240" w:lineRule="auto"/>
              <w:rPr>
                <w:rFonts w:ascii="Calibri" w:eastAsia="Times New Roman" w:hAnsi="Calibri" w:cs="Calibri"/>
                <w:color w:val="000000"/>
                <w:sz w:val="24"/>
              </w:rPr>
            </w:pPr>
            <w:r w:rsidRPr="00062B97">
              <w:rPr>
                <w:rFonts w:ascii="Calibri" w:eastAsia="Times New Roman" w:hAnsi="Calibri" w:cs="Calibri"/>
                <w:color w:val="000000"/>
                <w:sz w:val="24"/>
              </w:rPr>
              <w:t>Konya</w:t>
            </w:r>
          </w:p>
        </w:tc>
        <w:tc>
          <w:tcPr>
            <w:tcW w:w="1324"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969</w:t>
            </w:r>
          </w:p>
        </w:tc>
        <w:tc>
          <w:tcPr>
            <w:tcW w:w="1285"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879</w:t>
            </w:r>
          </w:p>
        </w:tc>
        <w:tc>
          <w:tcPr>
            <w:tcW w:w="1560"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90</w:t>
            </w:r>
          </w:p>
        </w:tc>
        <w:tc>
          <w:tcPr>
            <w:tcW w:w="1528"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1.848</w:t>
            </w:r>
          </w:p>
        </w:tc>
        <w:tc>
          <w:tcPr>
            <w:tcW w:w="2053" w:type="dxa"/>
            <w:tcBorders>
              <w:top w:val="nil"/>
              <w:left w:val="nil"/>
              <w:bottom w:val="single" w:sz="4" w:space="0" w:color="auto"/>
              <w:right w:val="single" w:sz="4" w:space="0" w:color="auto"/>
            </w:tcBorders>
            <w:shd w:val="clear" w:color="auto" w:fill="auto"/>
            <w:noWrap/>
            <w:vAlign w:val="center"/>
            <w:hideMark/>
          </w:tcPr>
          <w:p w:rsidR="003E1B5C" w:rsidRPr="00062B97" w:rsidRDefault="003E1B5C" w:rsidP="00FC1B6B">
            <w:pPr>
              <w:spacing w:after="0" w:line="240" w:lineRule="auto"/>
              <w:jc w:val="center"/>
              <w:rPr>
                <w:rFonts w:ascii="Calibri" w:eastAsia="Times New Roman" w:hAnsi="Calibri" w:cs="Calibri"/>
                <w:color w:val="000000"/>
                <w:sz w:val="24"/>
              </w:rPr>
            </w:pPr>
            <w:r>
              <w:rPr>
                <w:rFonts w:ascii="Calibri" w:eastAsia="Times New Roman" w:hAnsi="Calibri" w:cs="Calibri"/>
                <w:color w:val="000000"/>
                <w:sz w:val="24"/>
              </w:rPr>
              <w:t>%110,2</w:t>
            </w:r>
          </w:p>
        </w:tc>
      </w:tr>
    </w:tbl>
    <w:p w:rsidR="003E1B5C" w:rsidRPr="00062B97" w:rsidRDefault="003E1B5C" w:rsidP="003E1B5C">
      <w:pPr>
        <w:spacing w:after="0"/>
        <w:jc w:val="both"/>
        <w:rPr>
          <w:sz w:val="20"/>
        </w:rPr>
      </w:pPr>
      <w:r w:rsidRPr="008E57B7">
        <w:rPr>
          <w:b/>
          <w:sz w:val="20"/>
        </w:rPr>
        <w:t>Kaynak:</w:t>
      </w:r>
      <w:r w:rsidRPr="008E57B7">
        <w:rPr>
          <w:sz w:val="20"/>
        </w:rPr>
        <w:t xml:space="preserve"> </w:t>
      </w:r>
      <w:r>
        <w:rPr>
          <w:sz w:val="20"/>
        </w:rPr>
        <w:t>TÜK, TİM</w:t>
      </w:r>
    </w:p>
    <w:p w:rsidR="003E1B5C" w:rsidRPr="00DB58A2" w:rsidRDefault="003E1B5C" w:rsidP="003E1B5C">
      <w:pPr>
        <w:spacing w:before="240" w:after="240"/>
        <w:jc w:val="both"/>
        <w:rPr>
          <w:b/>
          <w:color w:val="4F81BD" w:themeColor="accent1"/>
          <w:sz w:val="28"/>
        </w:rPr>
      </w:pPr>
      <w:r w:rsidRPr="00DB58A2">
        <w:rPr>
          <w:b/>
          <w:color w:val="4F81BD" w:themeColor="accent1"/>
          <w:sz w:val="28"/>
        </w:rPr>
        <w:t>Konya İhracatının Lokomotif Sektörleri</w:t>
      </w:r>
    </w:p>
    <w:p w:rsidR="003E1B5C" w:rsidRDefault="003E1B5C" w:rsidP="003E1B5C">
      <w:pPr>
        <w:spacing w:before="120" w:after="120"/>
        <w:jc w:val="both"/>
        <w:rPr>
          <w:sz w:val="24"/>
        </w:rPr>
      </w:pPr>
      <w:r>
        <w:rPr>
          <w:sz w:val="24"/>
        </w:rPr>
        <w:t xml:space="preserve">Sektörel olarak Konya ihracatında ilk beş içinde yer alan sektörler, toplam ihracatın %75’ini karşılamaktadır. </w:t>
      </w:r>
    </w:p>
    <w:p w:rsidR="003E1B5C" w:rsidRDefault="003E1B5C" w:rsidP="003E1B5C">
      <w:pPr>
        <w:spacing w:before="120" w:after="120"/>
        <w:jc w:val="both"/>
        <w:rPr>
          <w:sz w:val="24"/>
        </w:rPr>
      </w:pPr>
      <w:r>
        <w:rPr>
          <w:sz w:val="24"/>
        </w:rPr>
        <w:t xml:space="preserve">Konya ihracatında en yüksek paya sahip olan taşıt araçları ve yan sanayi sektörünün ihracatı 2012 yılının Ocak-Eylül döneminde bir önceki yıla göre %33,2 oranında artış göstererek 204.825 milyon dolar olarak gerçekleşmiştir. </w:t>
      </w:r>
    </w:p>
    <w:p w:rsidR="003E1B5C" w:rsidRPr="005541BB" w:rsidRDefault="003E1B5C" w:rsidP="003E1B5C">
      <w:pPr>
        <w:spacing w:before="120" w:after="120"/>
        <w:jc w:val="both"/>
        <w:rPr>
          <w:b/>
          <w:sz w:val="24"/>
        </w:rPr>
      </w:pPr>
      <w:r w:rsidRPr="005541BB">
        <w:rPr>
          <w:b/>
          <w:sz w:val="24"/>
        </w:rPr>
        <w:t xml:space="preserve">TABLO </w:t>
      </w:r>
      <w:r>
        <w:rPr>
          <w:b/>
          <w:sz w:val="24"/>
        </w:rPr>
        <w:t>2</w:t>
      </w:r>
      <w:r w:rsidRPr="005541BB">
        <w:rPr>
          <w:b/>
          <w:sz w:val="24"/>
        </w:rPr>
        <w:t xml:space="preserve">. </w:t>
      </w:r>
      <w:r>
        <w:rPr>
          <w:b/>
          <w:sz w:val="24"/>
        </w:rPr>
        <w:t>İHRACATIN</w:t>
      </w:r>
      <w:r w:rsidRPr="005541BB">
        <w:rPr>
          <w:b/>
          <w:sz w:val="24"/>
        </w:rPr>
        <w:t xml:space="preserve"> SEKTÖREL DAĞILIMI </w:t>
      </w:r>
    </w:p>
    <w:tbl>
      <w:tblPr>
        <w:tblW w:w="9637" w:type="dxa"/>
        <w:jc w:val="center"/>
        <w:tblLayout w:type="fixed"/>
        <w:tblCellMar>
          <w:left w:w="70" w:type="dxa"/>
          <w:right w:w="70" w:type="dxa"/>
        </w:tblCellMar>
        <w:tblLook w:val="04A0" w:firstRow="1" w:lastRow="0" w:firstColumn="1" w:lastColumn="0" w:noHBand="0" w:noVBand="1"/>
      </w:tblPr>
      <w:tblGrid>
        <w:gridCol w:w="441"/>
        <w:gridCol w:w="4536"/>
        <w:gridCol w:w="1417"/>
        <w:gridCol w:w="1276"/>
        <w:gridCol w:w="992"/>
        <w:gridCol w:w="975"/>
      </w:tblGrid>
      <w:tr w:rsidR="003E1B5C" w:rsidRPr="00DD5E56" w:rsidTr="00FC1B6B">
        <w:trPr>
          <w:trHeight w:val="640"/>
          <w:jc w:val="center"/>
        </w:trPr>
        <w:tc>
          <w:tcPr>
            <w:tcW w:w="441" w:type="dxa"/>
            <w:vMerge w:val="restart"/>
            <w:tcBorders>
              <w:top w:val="single" w:sz="4" w:space="0" w:color="auto"/>
              <w:left w:val="single" w:sz="4" w:space="0" w:color="auto"/>
              <w:right w:val="single" w:sz="4" w:space="0" w:color="auto"/>
            </w:tcBorders>
            <w:shd w:val="clear" w:color="auto" w:fill="4F81BD" w:themeFill="accent1"/>
            <w:vAlign w:val="center"/>
          </w:tcPr>
          <w:p w:rsidR="003E1B5C" w:rsidRPr="00DD5E56" w:rsidRDefault="003E1B5C" w:rsidP="00FC1B6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S</w:t>
            </w:r>
          </w:p>
        </w:tc>
        <w:tc>
          <w:tcPr>
            <w:tcW w:w="4536" w:type="dxa"/>
            <w:vMerge w:val="restart"/>
            <w:tcBorders>
              <w:top w:val="single" w:sz="4" w:space="0" w:color="auto"/>
              <w:left w:val="single" w:sz="4" w:space="0" w:color="auto"/>
              <w:right w:val="single" w:sz="4" w:space="0" w:color="auto"/>
            </w:tcBorders>
            <w:shd w:val="clear" w:color="auto" w:fill="4F81BD" w:themeFill="accent1"/>
            <w:noWrap/>
            <w:vAlign w:val="center"/>
            <w:hideMark/>
          </w:tcPr>
          <w:p w:rsidR="003E1B5C" w:rsidRPr="00DD5E56" w:rsidRDefault="003E1B5C" w:rsidP="00FC1B6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SEKTÖRLER</w:t>
            </w:r>
          </w:p>
        </w:tc>
        <w:tc>
          <w:tcPr>
            <w:tcW w:w="2693"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3E1B5C" w:rsidRPr="00DD5E56" w:rsidRDefault="003E1B5C" w:rsidP="00FC1B6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Ocak-Eylül</w:t>
            </w:r>
          </w:p>
        </w:tc>
        <w:tc>
          <w:tcPr>
            <w:tcW w:w="992" w:type="dxa"/>
            <w:vMerge w:val="restart"/>
            <w:tcBorders>
              <w:top w:val="single" w:sz="4" w:space="0" w:color="auto"/>
              <w:left w:val="single" w:sz="4" w:space="0" w:color="auto"/>
              <w:right w:val="single" w:sz="4" w:space="0" w:color="auto"/>
            </w:tcBorders>
            <w:shd w:val="clear" w:color="auto" w:fill="4F81BD" w:themeFill="accent1"/>
            <w:vAlign w:val="center"/>
          </w:tcPr>
          <w:p w:rsidR="003E1B5C" w:rsidRPr="00DD5E56" w:rsidRDefault="003E1B5C" w:rsidP="00FC1B6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Değişim (%)</w:t>
            </w:r>
          </w:p>
        </w:tc>
        <w:tc>
          <w:tcPr>
            <w:tcW w:w="975" w:type="dxa"/>
            <w:vMerge w:val="restart"/>
            <w:tcBorders>
              <w:top w:val="single" w:sz="4" w:space="0" w:color="auto"/>
              <w:left w:val="nil"/>
              <w:right w:val="single" w:sz="4" w:space="0" w:color="auto"/>
            </w:tcBorders>
            <w:shd w:val="clear" w:color="auto" w:fill="4F81BD" w:themeFill="accent1"/>
            <w:vAlign w:val="center"/>
            <w:hideMark/>
          </w:tcPr>
          <w:p w:rsidR="003E1B5C" w:rsidRPr="00DD5E56" w:rsidRDefault="003E1B5C" w:rsidP="00FC1B6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Toplam içindeki payı (%)</w:t>
            </w:r>
          </w:p>
        </w:tc>
      </w:tr>
      <w:tr w:rsidR="003E1B5C" w:rsidRPr="00DD5E56" w:rsidTr="00FC1B6B">
        <w:trPr>
          <w:trHeight w:val="315"/>
          <w:jc w:val="center"/>
        </w:trPr>
        <w:tc>
          <w:tcPr>
            <w:tcW w:w="441" w:type="dxa"/>
            <w:vMerge/>
            <w:tcBorders>
              <w:left w:val="single" w:sz="4" w:space="0" w:color="auto"/>
              <w:bottom w:val="single" w:sz="4" w:space="0" w:color="auto"/>
              <w:right w:val="single" w:sz="4" w:space="0" w:color="auto"/>
            </w:tcBorders>
            <w:shd w:val="clear" w:color="auto" w:fill="4F81BD" w:themeFill="accent1"/>
            <w:vAlign w:val="center"/>
          </w:tcPr>
          <w:p w:rsidR="003E1B5C" w:rsidRPr="00DD5E56" w:rsidRDefault="003E1B5C" w:rsidP="00FC1B6B">
            <w:pPr>
              <w:spacing w:after="0" w:line="240" w:lineRule="auto"/>
              <w:jc w:val="center"/>
              <w:rPr>
                <w:rFonts w:eastAsia="Times New Roman" w:cstheme="minorHAnsi"/>
                <w:b/>
                <w:color w:val="FFFFFF" w:themeColor="background1"/>
              </w:rPr>
            </w:pPr>
          </w:p>
        </w:tc>
        <w:tc>
          <w:tcPr>
            <w:tcW w:w="4536" w:type="dxa"/>
            <w:vMerge/>
            <w:tcBorders>
              <w:left w:val="single" w:sz="4" w:space="0" w:color="auto"/>
              <w:bottom w:val="single" w:sz="4" w:space="0" w:color="auto"/>
              <w:right w:val="single" w:sz="4" w:space="0" w:color="auto"/>
            </w:tcBorders>
            <w:shd w:val="clear" w:color="auto" w:fill="4F81BD" w:themeFill="accent1"/>
            <w:noWrap/>
            <w:vAlign w:val="center"/>
            <w:hideMark/>
          </w:tcPr>
          <w:p w:rsidR="003E1B5C" w:rsidRPr="00DD5E56" w:rsidRDefault="003E1B5C" w:rsidP="00FC1B6B">
            <w:pPr>
              <w:spacing w:after="0" w:line="240" w:lineRule="auto"/>
              <w:jc w:val="center"/>
              <w:rPr>
                <w:rFonts w:eastAsia="Times New Roman" w:cstheme="minorHAnsi"/>
                <w:b/>
                <w:color w:val="FFFFFF" w:themeColor="background1"/>
              </w:rPr>
            </w:pPr>
          </w:p>
        </w:tc>
        <w:tc>
          <w:tcPr>
            <w:tcW w:w="1417" w:type="dxa"/>
            <w:tcBorders>
              <w:top w:val="nil"/>
              <w:left w:val="nil"/>
              <w:bottom w:val="single" w:sz="4" w:space="0" w:color="auto"/>
              <w:right w:val="single" w:sz="4" w:space="0" w:color="auto"/>
            </w:tcBorders>
            <w:shd w:val="clear" w:color="auto" w:fill="4F81BD" w:themeFill="accent1"/>
            <w:noWrap/>
            <w:vAlign w:val="center"/>
            <w:hideMark/>
          </w:tcPr>
          <w:p w:rsidR="003E1B5C" w:rsidRPr="00DD5E56" w:rsidRDefault="003E1B5C" w:rsidP="00FC1B6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2011</w:t>
            </w:r>
          </w:p>
        </w:tc>
        <w:tc>
          <w:tcPr>
            <w:tcW w:w="1276" w:type="dxa"/>
            <w:tcBorders>
              <w:top w:val="nil"/>
              <w:left w:val="nil"/>
              <w:bottom w:val="single" w:sz="4" w:space="0" w:color="auto"/>
              <w:right w:val="single" w:sz="4" w:space="0" w:color="auto"/>
            </w:tcBorders>
            <w:shd w:val="clear" w:color="auto" w:fill="4F81BD" w:themeFill="accent1"/>
            <w:noWrap/>
            <w:vAlign w:val="center"/>
            <w:hideMark/>
          </w:tcPr>
          <w:p w:rsidR="003E1B5C" w:rsidRPr="00DD5E56" w:rsidRDefault="003E1B5C" w:rsidP="00FC1B6B">
            <w:pPr>
              <w:spacing w:after="0" w:line="240" w:lineRule="auto"/>
              <w:jc w:val="center"/>
              <w:rPr>
                <w:rFonts w:eastAsia="Times New Roman" w:cstheme="minorHAnsi"/>
                <w:b/>
                <w:color w:val="FFFFFF" w:themeColor="background1"/>
              </w:rPr>
            </w:pPr>
            <w:r w:rsidRPr="00DD5E56">
              <w:rPr>
                <w:rFonts w:eastAsia="Times New Roman" w:cstheme="minorHAnsi"/>
                <w:b/>
                <w:color w:val="FFFFFF" w:themeColor="background1"/>
              </w:rPr>
              <w:t>2012</w:t>
            </w:r>
          </w:p>
        </w:tc>
        <w:tc>
          <w:tcPr>
            <w:tcW w:w="992" w:type="dxa"/>
            <w:vMerge/>
            <w:tcBorders>
              <w:left w:val="single" w:sz="4" w:space="0" w:color="auto"/>
              <w:bottom w:val="single" w:sz="4" w:space="0" w:color="auto"/>
              <w:right w:val="single" w:sz="4" w:space="0" w:color="auto"/>
            </w:tcBorders>
            <w:shd w:val="clear" w:color="auto" w:fill="4F81BD" w:themeFill="accent1"/>
            <w:noWrap/>
            <w:vAlign w:val="center"/>
            <w:hideMark/>
          </w:tcPr>
          <w:p w:rsidR="003E1B5C" w:rsidRPr="00DD5E56" w:rsidRDefault="003E1B5C" w:rsidP="00FC1B6B">
            <w:pPr>
              <w:spacing w:after="0" w:line="240" w:lineRule="auto"/>
              <w:jc w:val="center"/>
              <w:rPr>
                <w:rFonts w:eastAsia="Times New Roman" w:cstheme="minorHAnsi"/>
                <w:b/>
                <w:color w:val="FFFFFF" w:themeColor="background1"/>
              </w:rPr>
            </w:pPr>
          </w:p>
        </w:tc>
        <w:tc>
          <w:tcPr>
            <w:tcW w:w="975" w:type="dxa"/>
            <w:vMerge/>
            <w:tcBorders>
              <w:left w:val="nil"/>
              <w:bottom w:val="single" w:sz="4" w:space="0" w:color="auto"/>
              <w:right w:val="single" w:sz="4" w:space="0" w:color="auto"/>
            </w:tcBorders>
            <w:shd w:val="clear" w:color="auto" w:fill="auto"/>
            <w:vAlign w:val="center"/>
            <w:hideMark/>
          </w:tcPr>
          <w:p w:rsidR="003E1B5C" w:rsidRPr="00DD5E56" w:rsidRDefault="003E1B5C" w:rsidP="00FC1B6B">
            <w:pPr>
              <w:spacing w:after="0" w:line="240" w:lineRule="auto"/>
              <w:jc w:val="center"/>
              <w:rPr>
                <w:rFonts w:eastAsia="Times New Roman" w:cstheme="minorHAnsi"/>
                <w:color w:val="000000"/>
              </w:rPr>
            </w:pP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Taşıt Araçları ve Yan Sanayi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153.719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204.825</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33</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21</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2</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Makine ve Aksamları</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153.379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196.149</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28</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20</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3</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Hububat, Bakliyat, Yağlı Tohumlar ve Mamulleri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158.697</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139.134</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-12</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14</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4</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Demir ve Demir Dışı Metaller</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140.053</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104.529</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-25</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11</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5</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Kimyevi Maddeler ve Mamulleri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68.576</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71.647</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4</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7</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6</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Su Ürünleri ve Hayvancılık Mamulleri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61.730</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59.625</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-3</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6</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7</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İklimlendirme Sanayii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40.459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49.068</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21</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5</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8</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Maden ve Metaller</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30.889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23.226</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-25</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2</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9</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Savunma ve Havacılık Sanayii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9.109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20.110</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121</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2</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10</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 xml:space="preserve">Ağaç </w:t>
            </w:r>
            <w:r w:rsidR="00BE5FFB" w:rsidRPr="00DD5E56">
              <w:rPr>
                <w:rFonts w:cstheme="minorHAnsi"/>
                <w:color w:val="000000"/>
              </w:rPr>
              <w:t>Mamulleri</w:t>
            </w:r>
            <w:r w:rsidRPr="00DD5E56">
              <w:rPr>
                <w:rFonts w:cstheme="minorHAnsi"/>
                <w:color w:val="000000"/>
              </w:rPr>
              <w:t xml:space="preserve"> ve Orman Ürünleri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14.342</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17.469</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22</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2</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11</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ÇELİK</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11.609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15.939</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37</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2</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12</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Meyve Sebze Mamulleri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9.054</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13.769</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52</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1</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13</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Elektrik - Elektronik</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8.135</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11.988</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47</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1</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14</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BE5FFB" w:rsidP="00FC1B6B">
            <w:pPr>
              <w:rPr>
                <w:rFonts w:cstheme="minorHAnsi"/>
                <w:color w:val="000000"/>
              </w:rPr>
            </w:pPr>
            <w:r w:rsidRPr="00DD5E56">
              <w:rPr>
                <w:rFonts w:cstheme="minorHAnsi"/>
                <w:color w:val="000000"/>
              </w:rPr>
              <w:t>Hazır giyim</w:t>
            </w:r>
            <w:r w:rsidR="003E1B5C" w:rsidRPr="00DD5E56">
              <w:rPr>
                <w:rFonts w:cstheme="minorHAnsi"/>
                <w:color w:val="000000"/>
              </w:rPr>
              <w:t xml:space="preserve"> ve Konfeksiyon</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8.829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10.182</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15</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1</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15</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Çimento Cam Seramik ve Toprak Ürünleri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9.181</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9.688</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6</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1</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16</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Tekstil ve Hammaddeleri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5.012</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7.262</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45</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1</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17</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Yaş Meyve ve Sebze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2.470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3.844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56</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18</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Kuru Meyve ve Mamulleri</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2.130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3.153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48</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19</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Zeytin ve Zeytinyağı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1.485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1.379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-7</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lastRenderedPageBreak/>
              <w:t>20</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Halı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979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811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-17</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21</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Deri ve Deri Mamulleri</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1.010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790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-22</w:t>
            </w:r>
          </w:p>
        </w:tc>
        <w:tc>
          <w:tcPr>
            <w:tcW w:w="975" w:type="dxa"/>
            <w:tcBorders>
              <w:top w:val="single" w:sz="4" w:space="0" w:color="auto"/>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nil"/>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22</w:t>
            </w:r>
          </w:p>
        </w:tc>
        <w:tc>
          <w:tcPr>
            <w:tcW w:w="4536" w:type="dxa"/>
            <w:tcBorders>
              <w:top w:val="nil"/>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Gemi ve Yat</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15</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388</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2487</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23</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Fındık ve Mamulleri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162</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275</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70</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24</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Diğer Sanayi Ürünleri</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159</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10</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-94</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single" w:sz="4" w:space="0" w:color="auto"/>
            </w:tcBorders>
            <w:vAlign w:val="center"/>
          </w:tcPr>
          <w:p w:rsidR="003E1B5C" w:rsidRPr="00DD5E56" w:rsidRDefault="003E1B5C" w:rsidP="00FC1B6B">
            <w:pPr>
              <w:spacing w:after="0" w:line="240" w:lineRule="auto"/>
              <w:jc w:val="center"/>
              <w:rPr>
                <w:rFonts w:eastAsia="Times New Roman" w:cstheme="minorHAnsi"/>
                <w:color w:val="000000"/>
              </w:rPr>
            </w:pPr>
            <w:r w:rsidRPr="00DD5E56">
              <w:rPr>
                <w:rFonts w:eastAsia="Times New Roman" w:cstheme="minorHAnsi"/>
                <w:color w:val="000000"/>
              </w:rPr>
              <w:t>25</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Değerli Maden ve Mücevherat</w:t>
            </w:r>
          </w:p>
        </w:tc>
        <w:tc>
          <w:tcPr>
            <w:tcW w:w="1417"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11</w:t>
            </w:r>
          </w:p>
        </w:tc>
        <w:tc>
          <w:tcPr>
            <w:tcW w:w="1276"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1</w:t>
            </w:r>
          </w:p>
        </w:tc>
        <w:tc>
          <w:tcPr>
            <w:tcW w:w="992"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rPr>
            </w:pPr>
            <w:r w:rsidRPr="00DD5E56">
              <w:rPr>
                <w:rFonts w:cstheme="minorHAnsi"/>
              </w:rPr>
              <w:t>-91</w:t>
            </w:r>
          </w:p>
        </w:tc>
        <w:tc>
          <w:tcPr>
            <w:tcW w:w="975" w:type="dxa"/>
            <w:tcBorders>
              <w:top w:val="nil"/>
              <w:left w:val="nil"/>
              <w:bottom w:val="single" w:sz="4" w:space="0" w:color="auto"/>
              <w:right w:val="single" w:sz="4" w:space="0" w:color="auto"/>
            </w:tcBorders>
            <w:shd w:val="clear" w:color="auto" w:fill="auto"/>
            <w:noWrap/>
            <w:vAlign w:val="bottom"/>
          </w:tcPr>
          <w:p w:rsidR="003E1B5C" w:rsidRPr="00DD5E56" w:rsidRDefault="003E1B5C" w:rsidP="00FC1B6B">
            <w:pPr>
              <w:rPr>
                <w:rFonts w:cstheme="minorHAnsi"/>
                <w:color w:val="000000"/>
              </w:rPr>
            </w:pPr>
            <w:r w:rsidRPr="00DD5E56">
              <w:rPr>
                <w:rFonts w:cstheme="minorHAnsi"/>
                <w:color w:val="000000"/>
              </w:rPr>
              <w:t>0</w:t>
            </w:r>
          </w:p>
        </w:tc>
      </w:tr>
      <w:tr w:rsidR="003E1B5C" w:rsidRPr="00DD5E56" w:rsidTr="00FC1B6B">
        <w:trPr>
          <w:trHeight w:hRule="exact" w:val="284"/>
          <w:jc w:val="center"/>
        </w:trPr>
        <w:tc>
          <w:tcPr>
            <w:tcW w:w="441" w:type="dxa"/>
            <w:tcBorders>
              <w:top w:val="single" w:sz="4" w:space="0" w:color="auto"/>
              <w:left w:val="single" w:sz="4" w:space="0" w:color="auto"/>
              <w:bottom w:val="single" w:sz="4" w:space="0" w:color="auto"/>
              <w:right w:val="nil"/>
            </w:tcBorders>
            <w:vAlign w:val="center"/>
          </w:tcPr>
          <w:p w:rsidR="003E1B5C" w:rsidRPr="00DD5E56" w:rsidRDefault="003E1B5C" w:rsidP="00FC1B6B">
            <w:pPr>
              <w:spacing w:after="0" w:line="240" w:lineRule="auto"/>
              <w:jc w:val="center"/>
              <w:rPr>
                <w:rFonts w:eastAsia="Times New Roman" w:cstheme="minorHAnsi"/>
                <w:b/>
                <w:color w:val="000000"/>
              </w:rPr>
            </w:pPr>
          </w:p>
        </w:tc>
        <w:tc>
          <w:tcPr>
            <w:tcW w:w="4536" w:type="dxa"/>
            <w:tcBorders>
              <w:top w:val="single" w:sz="4" w:space="0" w:color="auto"/>
              <w:left w:val="single" w:sz="4" w:space="0" w:color="auto"/>
              <w:bottom w:val="single" w:sz="4" w:space="0" w:color="auto"/>
              <w:right w:val="nil"/>
            </w:tcBorders>
            <w:shd w:val="clear" w:color="auto" w:fill="auto"/>
            <w:noWrap/>
            <w:vAlign w:val="center"/>
            <w:hideMark/>
          </w:tcPr>
          <w:p w:rsidR="003E1B5C" w:rsidRPr="00DD5E56" w:rsidRDefault="003E1B5C" w:rsidP="00FC1B6B">
            <w:pPr>
              <w:spacing w:after="0" w:line="240" w:lineRule="auto"/>
              <w:rPr>
                <w:rFonts w:eastAsia="Times New Roman" w:cstheme="minorHAnsi"/>
                <w:color w:val="000000"/>
              </w:rPr>
            </w:pPr>
            <w:r w:rsidRPr="00DD5E56">
              <w:rPr>
                <w:rFonts w:eastAsia="Times New Roman" w:cstheme="minorHAnsi"/>
                <w:b/>
                <w:color w:val="000000"/>
              </w:rPr>
              <w:t>Tüm Sektörlerin Toplamı</w:t>
            </w:r>
          </w:p>
        </w:tc>
        <w:tc>
          <w:tcPr>
            <w:tcW w:w="1417" w:type="dxa"/>
            <w:tcBorders>
              <w:top w:val="nil"/>
              <w:left w:val="single" w:sz="4" w:space="0" w:color="auto"/>
              <w:bottom w:val="single" w:sz="4" w:space="0" w:color="auto"/>
              <w:right w:val="single" w:sz="4" w:space="0" w:color="auto"/>
            </w:tcBorders>
            <w:shd w:val="clear" w:color="auto" w:fill="auto"/>
            <w:noWrap/>
          </w:tcPr>
          <w:p w:rsidR="003E1B5C" w:rsidRPr="00DD5E56" w:rsidRDefault="003E1B5C" w:rsidP="00FC1B6B">
            <w:pPr>
              <w:rPr>
                <w:rFonts w:cstheme="minorHAnsi"/>
              </w:rPr>
            </w:pPr>
            <w:r w:rsidRPr="00DD5E56">
              <w:rPr>
                <w:rFonts w:cstheme="minorHAnsi"/>
              </w:rPr>
              <w:t>892.634</w:t>
            </w:r>
          </w:p>
        </w:tc>
        <w:tc>
          <w:tcPr>
            <w:tcW w:w="1276" w:type="dxa"/>
            <w:tcBorders>
              <w:top w:val="nil"/>
              <w:left w:val="nil"/>
              <w:bottom w:val="single" w:sz="4" w:space="0" w:color="auto"/>
              <w:right w:val="single" w:sz="4" w:space="0" w:color="auto"/>
            </w:tcBorders>
            <w:shd w:val="clear" w:color="auto" w:fill="auto"/>
            <w:noWrap/>
          </w:tcPr>
          <w:p w:rsidR="003E1B5C" w:rsidRPr="00DD5E56" w:rsidRDefault="003E1B5C" w:rsidP="00FC1B6B">
            <w:pPr>
              <w:rPr>
                <w:rFonts w:cstheme="minorHAnsi"/>
              </w:rPr>
            </w:pPr>
            <w:r w:rsidRPr="00DD5E56">
              <w:rPr>
                <w:rFonts w:cstheme="minorHAnsi"/>
              </w:rPr>
              <w:t>969.568</w:t>
            </w:r>
          </w:p>
        </w:tc>
        <w:tc>
          <w:tcPr>
            <w:tcW w:w="992" w:type="dxa"/>
            <w:tcBorders>
              <w:top w:val="nil"/>
              <w:left w:val="nil"/>
              <w:bottom w:val="single" w:sz="4" w:space="0" w:color="auto"/>
              <w:right w:val="single" w:sz="4" w:space="0" w:color="auto"/>
            </w:tcBorders>
            <w:shd w:val="clear" w:color="auto" w:fill="auto"/>
            <w:noWrap/>
            <w:vAlign w:val="center"/>
          </w:tcPr>
          <w:p w:rsidR="003E1B5C" w:rsidRPr="00DD5E56" w:rsidRDefault="003E1B5C" w:rsidP="00FC1B6B">
            <w:pPr>
              <w:rPr>
                <w:rFonts w:cstheme="minorHAnsi"/>
              </w:rPr>
            </w:pPr>
            <w:r w:rsidRPr="00DD5E56">
              <w:rPr>
                <w:rFonts w:cstheme="minorHAnsi"/>
              </w:rPr>
              <w:t>8,6</w:t>
            </w:r>
          </w:p>
        </w:tc>
        <w:tc>
          <w:tcPr>
            <w:tcW w:w="975" w:type="dxa"/>
            <w:tcBorders>
              <w:top w:val="nil"/>
              <w:left w:val="nil"/>
              <w:bottom w:val="single" w:sz="4" w:space="0" w:color="auto"/>
              <w:right w:val="single" w:sz="4" w:space="0" w:color="auto"/>
            </w:tcBorders>
            <w:shd w:val="clear" w:color="auto" w:fill="auto"/>
            <w:noWrap/>
            <w:vAlign w:val="center"/>
          </w:tcPr>
          <w:p w:rsidR="003E1B5C" w:rsidRPr="00DD5E56" w:rsidRDefault="003E1B5C" w:rsidP="00FC1B6B">
            <w:pPr>
              <w:rPr>
                <w:rFonts w:cstheme="minorHAnsi"/>
              </w:rPr>
            </w:pPr>
            <w:r w:rsidRPr="00DD5E56">
              <w:rPr>
                <w:rFonts w:cstheme="minorHAnsi"/>
              </w:rPr>
              <w:t>100</w:t>
            </w:r>
          </w:p>
        </w:tc>
      </w:tr>
    </w:tbl>
    <w:p w:rsidR="003E1B5C" w:rsidRPr="008E57B7" w:rsidRDefault="003E1B5C" w:rsidP="003E1B5C">
      <w:pPr>
        <w:spacing w:after="0"/>
        <w:jc w:val="both"/>
        <w:rPr>
          <w:sz w:val="20"/>
        </w:rPr>
      </w:pPr>
      <w:r w:rsidRPr="008E57B7">
        <w:rPr>
          <w:b/>
          <w:sz w:val="20"/>
        </w:rPr>
        <w:t>Kaynak:</w:t>
      </w:r>
      <w:r w:rsidRPr="008E57B7">
        <w:rPr>
          <w:sz w:val="20"/>
        </w:rPr>
        <w:t xml:space="preserve"> TİM</w:t>
      </w:r>
    </w:p>
    <w:p w:rsidR="003E1B5C" w:rsidRPr="00D37DF5" w:rsidRDefault="003E1B5C" w:rsidP="003E1B5C">
      <w:pPr>
        <w:spacing w:before="120" w:after="120"/>
        <w:jc w:val="both"/>
        <w:rPr>
          <w:sz w:val="24"/>
        </w:rPr>
      </w:pPr>
      <w:r>
        <w:rPr>
          <w:sz w:val="24"/>
        </w:rPr>
        <w:t xml:space="preserve">İlk beş sektör içerisinde en fazla artış oranı ise Taşıt Araçları ve Yan Sanayi sektöründe görülmüştür. Sektörün ihracatı bir önceki döneme göre %33 oranında artarak 153 milyon dolardan 204 milyon dolara yükselmiştir. Savunma ve Havacılık Sanayi ile Gemi ve Yat sektöründeki ihracat artışları apaçık göze çarpmaktadır. </w:t>
      </w:r>
      <w:proofErr w:type="gramStart"/>
      <w:r>
        <w:rPr>
          <w:sz w:val="24"/>
        </w:rPr>
        <w:t>Savunma  ve</w:t>
      </w:r>
      <w:proofErr w:type="gramEnd"/>
      <w:r>
        <w:rPr>
          <w:sz w:val="24"/>
        </w:rPr>
        <w:t xml:space="preserve"> Havacılık Sanayi ihracatı bir önceki yıla göre %121 oranında artarak 9 milyon dolardan 20 milyon dolara yükselmiş, Gemi ve Yat sektörünün ihracatı ise %2.487’lik rekor bir artışla 15 bin dolardan 388 bin dolara yükselmiştir.</w:t>
      </w:r>
    </w:p>
    <w:p w:rsidR="003E1B5C" w:rsidRPr="007E23D7" w:rsidRDefault="003E1B5C" w:rsidP="003E1B5C">
      <w:pPr>
        <w:spacing w:before="240" w:after="240"/>
        <w:jc w:val="both"/>
        <w:rPr>
          <w:b/>
          <w:color w:val="4F81BD" w:themeColor="accent1"/>
          <w:sz w:val="28"/>
        </w:rPr>
      </w:pPr>
      <w:r w:rsidRPr="007E23D7">
        <w:rPr>
          <w:b/>
          <w:color w:val="4F81BD" w:themeColor="accent1"/>
          <w:sz w:val="28"/>
        </w:rPr>
        <w:t xml:space="preserve">2012 </w:t>
      </w:r>
      <w:r>
        <w:rPr>
          <w:b/>
          <w:color w:val="4F81BD" w:themeColor="accent1"/>
          <w:sz w:val="28"/>
        </w:rPr>
        <w:t>Ocak-</w:t>
      </w:r>
      <w:r w:rsidR="00EF5C37">
        <w:rPr>
          <w:b/>
          <w:color w:val="4F81BD" w:themeColor="accent1"/>
          <w:sz w:val="28"/>
        </w:rPr>
        <w:t>Eylül</w:t>
      </w:r>
      <w:r>
        <w:rPr>
          <w:b/>
          <w:color w:val="4F81BD" w:themeColor="accent1"/>
          <w:sz w:val="28"/>
        </w:rPr>
        <w:t xml:space="preserve"> Döneminde</w:t>
      </w:r>
      <w:r w:rsidRPr="007E23D7">
        <w:rPr>
          <w:b/>
          <w:color w:val="4F81BD" w:themeColor="accent1"/>
          <w:sz w:val="28"/>
        </w:rPr>
        <w:t xml:space="preserve"> Irak’a İhracat  </w:t>
      </w:r>
      <w:r>
        <w:rPr>
          <w:b/>
          <w:color w:val="4F81BD" w:themeColor="accent1"/>
          <w:sz w:val="28"/>
        </w:rPr>
        <w:t>%74,7</w:t>
      </w:r>
      <w:r w:rsidRPr="007E23D7">
        <w:rPr>
          <w:b/>
          <w:color w:val="4F81BD" w:themeColor="accent1"/>
          <w:sz w:val="28"/>
        </w:rPr>
        <w:t xml:space="preserve"> Oranında Arttı</w:t>
      </w:r>
    </w:p>
    <w:p w:rsidR="003E1B5C" w:rsidRDefault="003E1B5C" w:rsidP="003E1B5C">
      <w:pPr>
        <w:spacing w:before="120" w:after="120"/>
        <w:jc w:val="both"/>
        <w:rPr>
          <w:sz w:val="24"/>
        </w:rPr>
      </w:pPr>
      <w:r>
        <w:rPr>
          <w:sz w:val="24"/>
        </w:rPr>
        <w:t xml:space="preserve">Ülke bazında Konya ihracatına bakıldığında ise 2012 yılının Ocak-Eylül döneminde ilk sırada 180 milyon dolarlık ihracat değeri ile Irak yer almaktadır. Irak’a ihracatımız 2011 yılının Ocak-Eylül döneminde 103 milyon dolar iken, 2012 yılının aynı döneminde %74,7 oranında artarak 180 milyon dolara ulaşmıştır. </w:t>
      </w:r>
    </w:p>
    <w:p w:rsidR="003E1B5C" w:rsidRDefault="003E1B5C" w:rsidP="003E1B5C">
      <w:pPr>
        <w:spacing w:before="120" w:after="120"/>
        <w:jc w:val="both"/>
        <w:rPr>
          <w:sz w:val="24"/>
        </w:rPr>
      </w:pPr>
      <w:r>
        <w:rPr>
          <w:sz w:val="24"/>
        </w:rPr>
        <w:t xml:space="preserve">Irak’ın ardından </w:t>
      </w:r>
      <w:proofErr w:type="gramStart"/>
      <w:r>
        <w:rPr>
          <w:sz w:val="24"/>
        </w:rPr>
        <w:t>59.1</w:t>
      </w:r>
      <w:proofErr w:type="gramEnd"/>
      <w:r>
        <w:rPr>
          <w:sz w:val="24"/>
        </w:rPr>
        <w:t xml:space="preserve"> milyon dolarlık ihracat değeri ile Almanya ve 41.1 milyon dolarlık ihracat değeri ile İran gelmektedir. İlk on ülke içerisinde İtalya 4. sırada yer almaktadır ve İtalya’ya olan ihracatımız geçen yılın aynı dönemine göre %90’lık yüksek bir azalma oranı göstererek 71 milyon dolardan 37 milyon dolara düşmüştür. İran’a olan ihracatımız ise geçen seneye göre %42,8 oranında azalmıştır. Rusya’ya olan ihracatımız ise geçen yılın aynı dönemine göre %53,5 oranında artış göstererek </w:t>
      </w:r>
      <w:proofErr w:type="gramStart"/>
      <w:r>
        <w:rPr>
          <w:sz w:val="24"/>
        </w:rPr>
        <w:t>35.4</w:t>
      </w:r>
      <w:proofErr w:type="gramEnd"/>
      <w:r>
        <w:rPr>
          <w:sz w:val="24"/>
        </w:rPr>
        <w:t xml:space="preserve"> milyon dolar olarak gerçekleşmiştir.</w:t>
      </w:r>
    </w:p>
    <w:p w:rsidR="003E1B5C" w:rsidRDefault="003E1B5C" w:rsidP="003E1B5C">
      <w:pPr>
        <w:spacing w:after="0"/>
        <w:jc w:val="center"/>
        <w:rPr>
          <w:sz w:val="24"/>
        </w:rPr>
      </w:pPr>
      <w:r>
        <w:rPr>
          <w:noProof/>
          <w:lang w:eastAsia="tr-TR"/>
        </w:rPr>
        <w:drawing>
          <wp:inline distT="0" distB="0" distL="0" distR="0" wp14:anchorId="78A7C111" wp14:editId="56A69A77">
            <wp:extent cx="6029325" cy="2533650"/>
            <wp:effectExtent l="0" t="0" r="9525" b="1905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1B5C" w:rsidRPr="008E57B7" w:rsidRDefault="003E1B5C" w:rsidP="003E1B5C">
      <w:pPr>
        <w:spacing w:after="0"/>
        <w:jc w:val="both"/>
        <w:rPr>
          <w:sz w:val="20"/>
        </w:rPr>
      </w:pPr>
      <w:r w:rsidRPr="008E57B7">
        <w:rPr>
          <w:b/>
          <w:sz w:val="20"/>
        </w:rPr>
        <w:t>Kaynak:</w:t>
      </w:r>
      <w:r w:rsidRPr="008E57B7">
        <w:rPr>
          <w:sz w:val="20"/>
        </w:rPr>
        <w:t xml:space="preserve"> TİM</w:t>
      </w:r>
    </w:p>
    <w:p w:rsidR="00BE5FFB" w:rsidRDefault="00BE5FFB" w:rsidP="003E1B5C">
      <w:pPr>
        <w:spacing w:before="240" w:after="240"/>
        <w:jc w:val="both"/>
        <w:rPr>
          <w:b/>
          <w:color w:val="4F81BD" w:themeColor="accent1"/>
          <w:sz w:val="28"/>
        </w:rPr>
      </w:pPr>
    </w:p>
    <w:p w:rsidR="003E1B5C" w:rsidRPr="00C42B13" w:rsidRDefault="003E1B5C" w:rsidP="003E1B5C">
      <w:pPr>
        <w:spacing w:before="240" w:after="240"/>
        <w:jc w:val="both"/>
        <w:rPr>
          <w:b/>
          <w:color w:val="4F81BD" w:themeColor="accent1"/>
          <w:sz w:val="28"/>
        </w:rPr>
      </w:pPr>
      <w:r w:rsidRPr="00C42B13">
        <w:rPr>
          <w:b/>
          <w:color w:val="4F81BD" w:themeColor="accent1"/>
          <w:sz w:val="28"/>
        </w:rPr>
        <w:t>Konya Ticaret Odası Tır Karnesi İstatistikleri</w:t>
      </w:r>
    </w:p>
    <w:p w:rsidR="003E1B5C" w:rsidRDefault="003E1B5C" w:rsidP="003E1B5C">
      <w:pPr>
        <w:spacing w:before="120" w:after="120"/>
        <w:jc w:val="both"/>
        <w:rPr>
          <w:sz w:val="24"/>
        </w:rPr>
      </w:pPr>
      <w:r>
        <w:rPr>
          <w:sz w:val="24"/>
        </w:rPr>
        <w:t xml:space="preserve">Uluslararası taşımada kullanılan Tır Karneleri, taşımanın uzaklığına ve boşaltma sayısına göre firmalar tarafından kullanılmaktadır. Kullanılan tır karne türleri sırasıyla şu şekildedir: 4’lü AB Tır Karnesi, 4’lü Tır karnesi, 6’lı tır karnesi, 14’lü tır karnesi, 20’li tır karnesidir. </w:t>
      </w:r>
    </w:p>
    <w:p w:rsidR="003E1B5C" w:rsidRDefault="003E1B5C" w:rsidP="003E1B5C">
      <w:pPr>
        <w:spacing w:before="120" w:after="120"/>
        <w:jc w:val="both"/>
        <w:rPr>
          <w:sz w:val="24"/>
        </w:rPr>
      </w:pPr>
      <w:r>
        <w:rPr>
          <w:sz w:val="24"/>
        </w:rPr>
        <w:t xml:space="preserve">4’lü AB Tır karnesi diğerlerinden farklı olarak AB ve AB’ye sınırı olan ülkelere yapılan taşımacılıkta kullanılmaktadır. </w:t>
      </w:r>
    </w:p>
    <w:p w:rsidR="003E1B5C" w:rsidRDefault="003E1B5C" w:rsidP="003E1B5C">
      <w:pPr>
        <w:spacing w:before="120" w:after="120"/>
        <w:jc w:val="both"/>
        <w:rPr>
          <w:sz w:val="24"/>
        </w:rPr>
      </w:pPr>
      <w:r>
        <w:rPr>
          <w:sz w:val="24"/>
        </w:rPr>
        <w:t xml:space="preserve">Konya Ticaret Odası verilerine göre 2012 yılının Ocak-Eylül döneminde bir önceki yılın aynı dönemine göre en fazla artış 4’lü AB tır karnesinde görülmüştür. 4’lü AB tır karnesi bir önceki yılın Eylül ayına göre %19,7’lik artış göstererek toplamda 188 adet olarak gerçekleşmiştir. </w:t>
      </w:r>
    </w:p>
    <w:p w:rsidR="003E1B5C" w:rsidRPr="005541BB" w:rsidRDefault="003E1B5C" w:rsidP="003E1B5C">
      <w:pPr>
        <w:spacing w:before="240" w:after="120"/>
        <w:jc w:val="both"/>
        <w:rPr>
          <w:b/>
          <w:sz w:val="24"/>
        </w:rPr>
      </w:pPr>
      <w:r w:rsidRPr="005541BB">
        <w:rPr>
          <w:b/>
          <w:sz w:val="24"/>
        </w:rPr>
        <w:t xml:space="preserve">TABLO </w:t>
      </w:r>
      <w:r>
        <w:rPr>
          <w:b/>
          <w:sz w:val="24"/>
        </w:rPr>
        <w:t>3</w:t>
      </w:r>
      <w:r w:rsidRPr="005541BB">
        <w:rPr>
          <w:b/>
          <w:sz w:val="24"/>
        </w:rPr>
        <w:t xml:space="preserve">. TIR KARNESİ SATIŞ RAKMALARI </w:t>
      </w:r>
    </w:p>
    <w:tbl>
      <w:tblPr>
        <w:tblW w:w="9072" w:type="dxa"/>
        <w:tblInd w:w="55" w:type="dxa"/>
        <w:tblCellMar>
          <w:left w:w="70" w:type="dxa"/>
          <w:right w:w="70" w:type="dxa"/>
        </w:tblCellMar>
        <w:tblLook w:val="04A0" w:firstRow="1" w:lastRow="0" w:firstColumn="1" w:lastColumn="0" w:noHBand="0" w:noVBand="1"/>
      </w:tblPr>
      <w:tblGrid>
        <w:gridCol w:w="2283"/>
        <w:gridCol w:w="851"/>
        <w:gridCol w:w="992"/>
        <w:gridCol w:w="1559"/>
        <w:gridCol w:w="993"/>
        <w:gridCol w:w="847"/>
        <w:gridCol w:w="1547"/>
      </w:tblGrid>
      <w:tr w:rsidR="003E1B5C" w:rsidRPr="00BE5FFB" w:rsidTr="00BE5FFB">
        <w:trPr>
          <w:trHeight w:val="362"/>
        </w:trPr>
        <w:tc>
          <w:tcPr>
            <w:tcW w:w="228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 </w:t>
            </w: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Eylül</w:t>
            </w:r>
          </w:p>
        </w:tc>
        <w:tc>
          <w:tcPr>
            <w:tcW w:w="3387" w:type="dxa"/>
            <w:gridSpan w:val="3"/>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Ocak-Eylül</w:t>
            </w:r>
          </w:p>
        </w:tc>
      </w:tr>
      <w:tr w:rsidR="003E1B5C" w:rsidRPr="00BE5FFB" w:rsidTr="00BE5FFB">
        <w:trPr>
          <w:trHeight w:val="724"/>
        </w:trPr>
        <w:tc>
          <w:tcPr>
            <w:tcW w:w="228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Türü</w:t>
            </w:r>
          </w:p>
        </w:tc>
        <w:tc>
          <w:tcPr>
            <w:tcW w:w="851" w:type="dxa"/>
            <w:tcBorders>
              <w:top w:val="single" w:sz="4" w:space="0" w:color="auto"/>
              <w:left w:val="nil"/>
              <w:bottom w:val="single" w:sz="4" w:space="0" w:color="auto"/>
              <w:right w:val="single" w:sz="4" w:space="0" w:color="auto"/>
            </w:tcBorders>
            <w:shd w:val="clear" w:color="auto" w:fill="0070C0"/>
            <w:noWrap/>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2011</w:t>
            </w:r>
          </w:p>
        </w:tc>
        <w:tc>
          <w:tcPr>
            <w:tcW w:w="992" w:type="dxa"/>
            <w:tcBorders>
              <w:top w:val="single" w:sz="4" w:space="0" w:color="auto"/>
              <w:left w:val="nil"/>
              <w:bottom w:val="single" w:sz="4" w:space="0" w:color="auto"/>
              <w:right w:val="single" w:sz="4" w:space="0" w:color="auto"/>
            </w:tcBorders>
            <w:shd w:val="clear" w:color="auto" w:fill="0070C0"/>
            <w:noWrap/>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2012</w:t>
            </w:r>
          </w:p>
        </w:tc>
        <w:tc>
          <w:tcPr>
            <w:tcW w:w="1559" w:type="dxa"/>
            <w:tcBorders>
              <w:top w:val="single" w:sz="4" w:space="0" w:color="auto"/>
              <w:left w:val="nil"/>
              <w:bottom w:val="single" w:sz="4" w:space="0" w:color="auto"/>
              <w:right w:val="single" w:sz="4" w:space="0" w:color="auto"/>
            </w:tcBorders>
            <w:shd w:val="clear" w:color="auto" w:fill="0070C0"/>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Değişim Oranı (%)</w:t>
            </w:r>
          </w:p>
        </w:tc>
        <w:tc>
          <w:tcPr>
            <w:tcW w:w="993" w:type="dxa"/>
            <w:tcBorders>
              <w:top w:val="single" w:sz="4" w:space="0" w:color="auto"/>
              <w:left w:val="nil"/>
              <w:bottom w:val="single" w:sz="4" w:space="0" w:color="auto"/>
              <w:right w:val="single" w:sz="4" w:space="0" w:color="auto"/>
            </w:tcBorders>
            <w:shd w:val="clear" w:color="auto" w:fill="0070C0"/>
            <w:noWrap/>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2011</w:t>
            </w:r>
          </w:p>
        </w:tc>
        <w:tc>
          <w:tcPr>
            <w:tcW w:w="847" w:type="dxa"/>
            <w:tcBorders>
              <w:top w:val="single" w:sz="4" w:space="0" w:color="auto"/>
              <w:left w:val="nil"/>
              <w:bottom w:val="single" w:sz="4" w:space="0" w:color="auto"/>
              <w:right w:val="single" w:sz="4" w:space="0" w:color="auto"/>
            </w:tcBorders>
            <w:shd w:val="clear" w:color="auto" w:fill="0070C0"/>
            <w:noWrap/>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2012</w:t>
            </w:r>
          </w:p>
        </w:tc>
        <w:tc>
          <w:tcPr>
            <w:tcW w:w="1547" w:type="dxa"/>
            <w:tcBorders>
              <w:top w:val="single" w:sz="4" w:space="0" w:color="auto"/>
              <w:left w:val="nil"/>
              <w:bottom w:val="single" w:sz="4" w:space="0" w:color="auto"/>
              <w:right w:val="single" w:sz="4" w:space="0" w:color="auto"/>
            </w:tcBorders>
            <w:shd w:val="clear" w:color="auto" w:fill="0070C0"/>
            <w:vAlign w:val="center"/>
            <w:hideMark/>
          </w:tcPr>
          <w:p w:rsidR="003E1B5C" w:rsidRPr="00BE5FFB" w:rsidRDefault="003E1B5C" w:rsidP="00FC1B6B">
            <w:pPr>
              <w:spacing w:after="0" w:line="240" w:lineRule="auto"/>
              <w:jc w:val="center"/>
              <w:rPr>
                <w:rFonts w:eastAsia="Times New Roman" w:cstheme="minorHAnsi"/>
                <w:b/>
                <w:color w:val="FFFFFF" w:themeColor="background1"/>
                <w:sz w:val="24"/>
                <w:szCs w:val="24"/>
              </w:rPr>
            </w:pPr>
            <w:r w:rsidRPr="00BE5FFB">
              <w:rPr>
                <w:rFonts w:eastAsia="Times New Roman" w:cstheme="minorHAnsi"/>
                <w:b/>
                <w:color w:val="FFFFFF" w:themeColor="background1"/>
                <w:sz w:val="24"/>
                <w:szCs w:val="24"/>
              </w:rPr>
              <w:t>Değişim Oranı (%)</w:t>
            </w:r>
          </w:p>
        </w:tc>
      </w:tr>
      <w:tr w:rsidR="003E1B5C" w:rsidRPr="00BE5FFB" w:rsidTr="00BE5FFB">
        <w:trPr>
          <w:trHeight w:val="36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3E1B5C" w:rsidRPr="00BE5FFB" w:rsidRDefault="003E1B5C" w:rsidP="00BE5FFB">
            <w:pPr>
              <w:pStyle w:val="AralkYok"/>
              <w:rPr>
                <w:rFonts w:eastAsia="Times New Roman" w:cstheme="minorHAnsi"/>
                <w:sz w:val="24"/>
                <w:szCs w:val="24"/>
              </w:rPr>
            </w:pPr>
            <w:r w:rsidRPr="00BE5FFB">
              <w:rPr>
                <w:rFonts w:eastAsia="Times New Roman" w:cstheme="minorHAnsi"/>
                <w:sz w:val="24"/>
                <w:szCs w:val="24"/>
              </w:rPr>
              <w:t>4'lü AB TIR Karnesi</w:t>
            </w:r>
          </w:p>
        </w:tc>
        <w:tc>
          <w:tcPr>
            <w:tcW w:w="851"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157</w:t>
            </w:r>
          </w:p>
        </w:tc>
        <w:tc>
          <w:tcPr>
            <w:tcW w:w="992"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188</w:t>
            </w:r>
          </w:p>
        </w:tc>
        <w:tc>
          <w:tcPr>
            <w:tcW w:w="1559"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19,7</w:t>
            </w:r>
          </w:p>
        </w:tc>
        <w:tc>
          <w:tcPr>
            <w:tcW w:w="993"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1122</w:t>
            </w:r>
          </w:p>
        </w:tc>
        <w:tc>
          <w:tcPr>
            <w:tcW w:w="8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1440</w:t>
            </w:r>
          </w:p>
        </w:tc>
        <w:tc>
          <w:tcPr>
            <w:tcW w:w="15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28,3</w:t>
            </w:r>
          </w:p>
        </w:tc>
      </w:tr>
      <w:tr w:rsidR="003E1B5C" w:rsidRPr="00BE5FFB" w:rsidTr="00BE5FFB">
        <w:trPr>
          <w:trHeight w:val="36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3E1B5C" w:rsidRPr="00BE5FFB" w:rsidRDefault="003E1B5C" w:rsidP="00BE5FFB">
            <w:pPr>
              <w:pStyle w:val="AralkYok"/>
              <w:rPr>
                <w:rFonts w:eastAsia="Times New Roman" w:cstheme="minorHAnsi"/>
                <w:sz w:val="24"/>
                <w:szCs w:val="24"/>
              </w:rPr>
            </w:pPr>
            <w:r w:rsidRPr="00BE5FFB">
              <w:rPr>
                <w:rFonts w:eastAsia="Times New Roman" w:cstheme="minorHAnsi"/>
                <w:sz w:val="24"/>
                <w:szCs w:val="24"/>
              </w:rPr>
              <w:t>4'lü TIR Karnesi</w:t>
            </w:r>
          </w:p>
        </w:tc>
        <w:tc>
          <w:tcPr>
            <w:tcW w:w="851"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37</w:t>
            </w:r>
          </w:p>
        </w:tc>
        <w:tc>
          <w:tcPr>
            <w:tcW w:w="992"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23</w:t>
            </w:r>
          </w:p>
        </w:tc>
        <w:tc>
          <w:tcPr>
            <w:tcW w:w="1559"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-37,8</w:t>
            </w:r>
          </w:p>
        </w:tc>
        <w:tc>
          <w:tcPr>
            <w:tcW w:w="993"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366</w:t>
            </w:r>
          </w:p>
        </w:tc>
        <w:tc>
          <w:tcPr>
            <w:tcW w:w="8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292</w:t>
            </w:r>
          </w:p>
        </w:tc>
        <w:tc>
          <w:tcPr>
            <w:tcW w:w="15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-20,2</w:t>
            </w:r>
          </w:p>
        </w:tc>
      </w:tr>
      <w:tr w:rsidR="003E1B5C" w:rsidRPr="00BE5FFB" w:rsidTr="00BE5FFB">
        <w:trPr>
          <w:trHeight w:val="36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3E1B5C" w:rsidRPr="00BE5FFB" w:rsidRDefault="003E1B5C" w:rsidP="00BE5FFB">
            <w:pPr>
              <w:pStyle w:val="AralkYok"/>
              <w:rPr>
                <w:rFonts w:eastAsia="Times New Roman" w:cstheme="minorHAnsi"/>
                <w:sz w:val="24"/>
                <w:szCs w:val="24"/>
              </w:rPr>
            </w:pPr>
            <w:r w:rsidRPr="00BE5FFB">
              <w:rPr>
                <w:rFonts w:eastAsia="Times New Roman" w:cstheme="minorHAnsi"/>
                <w:sz w:val="24"/>
                <w:szCs w:val="24"/>
              </w:rPr>
              <w:t>6'lı TIR Karnesi</w:t>
            </w:r>
          </w:p>
        </w:tc>
        <w:tc>
          <w:tcPr>
            <w:tcW w:w="851"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0</w:t>
            </w:r>
          </w:p>
        </w:tc>
        <w:tc>
          <w:tcPr>
            <w:tcW w:w="992"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0</w:t>
            </w:r>
          </w:p>
        </w:tc>
        <w:tc>
          <w:tcPr>
            <w:tcW w:w="993"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0</w:t>
            </w:r>
          </w:p>
        </w:tc>
        <w:tc>
          <w:tcPr>
            <w:tcW w:w="8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0</w:t>
            </w:r>
          </w:p>
        </w:tc>
        <w:tc>
          <w:tcPr>
            <w:tcW w:w="15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0</w:t>
            </w:r>
          </w:p>
        </w:tc>
      </w:tr>
      <w:tr w:rsidR="003E1B5C" w:rsidRPr="00BE5FFB" w:rsidTr="00BE5FFB">
        <w:trPr>
          <w:trHeight w:val="36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3E1B5C" w:rsidRPr="00BE5FFB" w:rsidRDefault="003E1B5C" w:rsidP="00BE5FFB">
            <w:pPr>
              <w:pStyle w:val="AralkYok"/>
              <w:rPr>
                <w:rFonts w:eastAsia="Times New Roman" w:cstheme="minorHAnsi"/>
                <w:sz w:val="24"/>
                <w:szCs w:val="24"/>
              </w:rPr>
            </w:pPr>
            <w:r w:rsidRPr="00BE5FFB">
              <w:rPr>
                <w:rFonts w:eastAsia="Times New Roman" w:cstheme="minorHAnsi"/>
                <w:sz w:val="24"/>
                <w:szCs w:val="24"/>
              </w:rPr>
              <w:t>14'lü TIR Karnesi</w:t>
            </w:r>
          </w:p>
        </w:tc>
        <w:tc>
          <w:tcPr>
            <w:tcW w:w="851"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729</w:t>
            </w:r>
          </w:p>
        </w:tc>
        <w:tc>
          <w:tcPr>
            <w:tcW w:w="992"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605</w:t>
            </w:r>
          </w:p>
        </w:tc>
        <w:tc>
          <w:tcPr>
            <w:tcW w:w="1559"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-17,0</w:t>
            </w:r>
          </w:p>
        </w:tc>
        <w:tc>
          <w:tcPr>
            <w:tcW w:w="993"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6158</w:t>
            </w:r>
          </w:p>
        </w:tc>
        <w:tc>
          <w:tcPr>
            <w:tcW w:w="8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5784</w:t>
            </w:r>
          </w:p>
        </w:tc>
        <w:tc>
          <w:tcPr>
            <w:tcW w:w="15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-6,1</w:t>
            </w:r>
          </w:p>
        </w:tc>
      </w:tr>
      <w:tr w:rsidR="003E1B5C" w:rsidRPr="00BE5FFB" w:rsidTr="00BE5FFB">
        <w:trPr>
          <w:trHeight w:val="362"/>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3E1B5C" w:rsidRPr="00BE5FFB" w:rsidRDefault="003E1B5C" w:rsidP="00BE5FFB">
            <w:pPr>
              <w:pStyle w:val="AralkYok"/>
              <w:rPr>
                <w:rFonts w:eastAsia="Times New Roman" w:cstheme="minorHAnsi"/>
                <w:sz w:val="24"/>
                <w:szCs w:val="24"/>
              </w:rPr>
            </w:pPr>
            <w:r w:rsidRPr="00BE5FFB">
              <w:rPr>
                <w:rFonts w:eastAsia="Times New Roman" w:cstheme="minorHAnsi"/>
                <w:sz w:val="24"/>
                <w:szCs w:val="24"/>
              </w:rPr>
              <w:t>20'li TIR Karnesi</w:t>
            </w:r>
          </w:p>
        </w:tc>
        <w:tc>
          <w:tcPr>
            <w:tcW w:w="851"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58</w:t>
            </w:r>
          </w:p>
        </w:tc>
        <w:tc>
          <w:tcPr>
            <w:tcW w:w="992"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25</w:t>
            </w:r>
          </w:p>
        </w:tc>
        <w:tc>
          <w:tcPr>
            <w:tcW w:w="1559"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-56,9</w:t>
            </w:r>
          </w:p>
        </w:tc>
        <w:tc>
          <w:tcPr>
            <w:tcW w:w="993"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408</w:t>
            </w:r>
          </w:p>
        </w:tc>
        <w:tc>
          <w:tcPr>
            <w:tcW w:w="8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FC1B6B">
            <w:pPr>
              <w:pStyle w:val="AralkYok"/>
              <w:rPr>
                <w:rFonts w:cstheme="minorHAnsi"/>
                <w:sz w:val="24"/>
                <w:szCs w:val="24"/>
              </w:rPr>
            </w:pPr>
            <w:r w:rsidRPr="00BE5FFB">
              <w:rPr>
                <w:rFonts w:cstheme="minorHAnsi"/>
                <w:sz w:val="24"/>
                <w:szCs w:val="24"/>
              </w:rPr>
              <w:t>308</w:t>
            </w:r>
          </w:p>
        </w:tc>
        <w:tc>
          <w:tcPr>
            <w:tcW w:w="1547" w:type="dxa"/>
            <w:tcBorders>
              <w:top w:val="nil"/>
              <w:left w:val="nil"/>
              <w:bottom w:val="single" w:sz="4" w:space="0" w:color="auto"/>
              <w:right w:val="single" w:sz="4" w:space="0" w:color="auto"/>
            </w:tcBorders>
            <w:shd w:val="clear" w:color="auto" w:fill="auto"/>
            <w:noWrap/>
            <w:vAlign w:val="center"/>
          </w:tcPr>
          <w:p w:rsidR="003E1B5C" w:rsidRPr="00BE5FFB" w:rsidRDefault="003E1B5C" w:rsidP="00BE5FFB">
            <w:pPr>
              <w:pStyle w:val="AralkYok"/>
              <w:jc w:val="center"/>
              <w:rPr>
                <w:rFonts w:cstheme="minorHAnsi"/>
                <w:sz w:val="24"/>
                <w:szCs w:val="24"/>
              </w:rPr>
            </w:pPr>
            <w:r w:rsidRPr="00BE5FFB">
              <w:rPr>
                <w:rFonts w:cstheme="minorHAnsi"/>
                <w:sz w:val="24"/>
                <w:szCs w:val="24"/>
              </w:rPr>
              <w:t>-24,5</w:t>
            </w:r>
          </w:p>
        </w:tc>
      </w:tr>
    </w:tbl>
    <w:p w:rsidR="003E1B5C" w:rsidRPr="00C42B13" w:rsidRDefault="003E1B5C" w:rsidP="003E1B5C">
      <w:pPr>
        <w:spacing w:after="0"/>
        <w:jc w:val="both"/>
        <w:rPr>
          <w:sz w:val="20"/>
        </w:rPr>
      </w:pPr>
      <w:r w:rsidRPr="00C42B13">
        <w:rPr>
          <w:b/>
          <w:sz w:val="20"/>
        </w:rPr>
        <w:t>Kaynak:</w:t>
      </w:r>
      <w:r w:rsidRPr="00C42B13">
        <w:rPr>
          <w:sz w:val="20"/>
        </w:rPr>
        <w:t xml:space="preserve"> Konya Ticaret Odası Dış Ticaret</w:t>
      </w:r>
      <w:r>
        <w:rPr>
          <w:sz w:val="20"/>
        </w:rPr>
        <w:t xml:space="preserve"> Birimi</w:t>
      </w:r>
      <w:r w:rsidRPr="00C42B13">
        <w:rPr>
          <w:sz w:val="20"/>
        </w:rPr>
        <w:t xml:space="preserve"> İstatistikleri</w:t>
      </w:r>
    </w:p>
    <w:p w:rsidR="00A535A1" w:rsidRPr="001710FC" w:rsidRDefault="00A535A1" w:rsidP="003E1B5C">
      <w:pPr>
        <w:pStyle w:val="Balk1"/>
        <w:spacing w:before="0" w:line="240" w:lineRule="auto"/>
        <w:ind w:left="7080" w:right="-1320"/>
      </w:pPr>
    </w:p>
    <w:sectPr w:rsidR="00A535A1" w:rsidRPr="001710FC" w:rsidSect="002408EF">
      <w:headerReference w:type="default" r:id="rId36"/>
      <w:footerReference w:type="default" r:id="rId37"/>
      <w:pgSz w:w="11906" w:h="16838"/>
      <w:pgMar w:top="1528" w:right="1417" w:bottom="1417" w:left="1417" w:header="11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AA6" w:rsidRDefault="00BA1AA6">
      <w:pPr>
        <w:spacing w:after="0" w:line="240" w:lineRule="auto"/>
      </w:pPr>
      <w:r>
        <w:separator/>
      </w:r>
    </w:p>
  </w:endnote>
  <w:endnote w:type="continuationSeparator" w:id="0">
    <w:p w:rsidR="00BA1AA6" w:rsidRDefault="00BA1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334946"/>
      <w:docPartObj>
        <w:docPartGallery w:val="Page Numbers (Bottom of Page)"/>
        <w:docPartUnique/>
      </w:docPartObj>
    </w:sdtPr>
    <w:sdtEndPr/>
    <w:sdtContent>
      <w:p w:rsidR="00055B1C" w:rsidRDefault="00055B1C">
        <w:pPr>
          <w:pStyle w:val="Altbilgi"/>
          <w:jc w:val="center"/>
        </w:pPr>
        <w:r>
          <w:fldChar w:fldCharType="begin"/>
        </w:r>
        <w:r>
          <w:instrText>PAGE   \* MERGEFORMAT</w:instrText>
        </w:r>
        <w:r>
          <w:fldChar w:fldCharType="separate"/>
        </w:r>
        <w:r>
          <w:rPr>
            <w:noProof/>
          </w:rPr>
          <w:t>i</w:t>
        </w:r>
        <w:r>
          <w:fldChar w:fldCharType="end"/>
        </w:r>
      </w:p>
    </w:sdtContent>
  </w:sdt>
  <w:p w:rsidR="00055B1C" w:rsidRDefault="00055B1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35149"/>
      <w:docPartObj>
        <w:docPartGallery w:val="Page Numbers (Bottom of Page)"/>
        <w:docPartUnique/>
      </w:docPartObj>
    </w:sdtPr>
    <w:sdtEndPr/>
    <w:sdtContent>
      <w:p w:rsidR="00055B1C" w:rsidRDefault="00055B1C">
        <w:pPr>
          <w:pStyle w:val="Altbilgi"/>
          <w:jc w:val="center"/>
        </w:pPr>
        <w:r>
          <w:fldChar w:fldCharType="begin"/>
        </w:r>
        <w:r>
          <w:instrText>PAGE   \* MERGEFORMAT</w:instrText>
        </w:r>
        <w:r>
          <w:fldChar w:fldCharType="separate"/>
        </w:r>
        <w:r w:rsidR="00F11B70">
          <w:rPr>
            <w:noProof/>
          </w:rPr>
          <w:t xml:space="preserve"> </w:t>
        </w:r>
        <w:r>
          <w:fldChar w:fldCharType="end"/>
        </w:r>
      </w:p>
    </w:sdtContent>
  </w:sdt>
  <w:p w:rsidR="00055B1C" w:rsidRDefault="00055B1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B1C" w:rsidRPr="000F08B4" w:rsidRDefault="00055B1C" w:rsidP="002A470B">
    <w:pPr>
      <w:pStyle w:val="Altbilgi"/>
      <w:jc w:val="right"/>
      <w:rPr>
        <w:rFonts w:cs="Arial"/>
        <w:b/>
        <w:color w:val="000066"/>
      </w:rPr>
    </w:pPr>
    <w:r w:rsidRPr="000F08B4">
      <w:rPr>
        <w:rFonts w:cs="Arial"/>
        <w:b/>
        <w:color w:val="000066"/>
      </w:rPr>
      <w:t>www.kto.org.tr</w:t>
    </w:r>
    <w:r w:rsidRPr="000F08B4">
      <w:rPr>
        <w:b/>
        <w:color w:val="000066"/>
        <w:sz w:val="32"/>
        <w:szCs w:val="32"/>
      </w:rPr>
      <w:t xml:space="preserve"> </w:t>
    </w:r>
    <w:sdt>
      <w:sdtPr>
        <w:rPr>
          <w:rFonts w:cs="Arial"/>
          <w:b/>
        </w:rPr>
        <w:id w:val="394529"/>
        <w:docPartObj>
          <w:docPartGallery w:val="Page Numbers (Bottom of Page)"/>
          <w:docPartUnique/>
        </w:docPartObj>
      </w:sdtPr>
      <w:sdtEndPr/>
      <w:sdtContent>
        <w:r w:rsidRPr="000F08B4">
          <w:rPr>
            <w:rFonts w:cs="Arial"/>
            <w:b/>
            <w:color w:val="000066"/>
          </w:rPr>
          <w:t xml:space="preserve"> |  </w:t>
        </w:r>
        <w:r w:rsidRPr="000F08B4">
          <w:rPr>
            <w:rFonts w:cs="Arial"/>
            <w:b/>
            <w:color w:val="000066"/>
          </w:rPr>
          <w:fldChar w:fldCharType="begin"/>
        </w:r>
        <w:r w:rsidRPr="000F08B4">
          <w:rPr>
            <w:rFonts w:cs="Arial"/>
            <w:b/>
            <w:color w:val="000066"/>
          </w:rPr>
          <w:instrText xml:space="preserve"> PAGE   \* MERGEFORMAT </w:instrText>
        </w:r>
        <w:r w:rsidRPr="000F08B4">
          <w:rPr>
            <w:rFonts w:cs="Arial"/>
            <w:b/>
            <w:color w:val="000066"/>
          </w:rPr>
          <w:fldChar w:fldCharType="separate"/>
        </w:r>
        <w:r w:rsidR="00F11B70">
          <w:rPr>
            <w:rFonts w:cs="Arial"/>
            <w:b/>
            <w:noProof/>
            <w:color w:val="000066"/>
          </w:rPr>
          <w:t>4</w:t>
        </w:r>
        <w:r w:rsidRPr="000F08B4">
          <w:rPr>
            <w:rFonts w:cs="Arial"/>
            <w:b/>
            <w:color w:val="000066"/>
          </w:rPr>
          <w:fldChar w:fldCharType="end"/>
        </w:r>
      </w:sdtContent>
    </w:sdt>
  </w:p>
  <w:p w:rsidR="00055B1C" w:rsidRDefault="00055B1C">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B1C" w:rsidRPr="000F08B4" w:rsidRDefault="00055B1C" w:rsidP="002A470B">
    <w:pPr>
      <w:pStyle w:val="Altbilgi"/>
      <w:jc w:val="right"/>
      <w:rPr>
        <w:rFonts w:cs="Arial"/>
        <w:b/>
        <w:color w:val="000066"/>
      </w:rPr>
    </w:pPr>
    <w:r w:rsidRPr="000F08B4">
      <w:rPr>
        <w:rFonts w:cs="Arial"/>
        <w:b/>
        <w:color w:val="000066"/>
      </w:rPr>
      <w:t>www.kto.org.tr</w:t>
    </w:r>
    <w:r w:rsidRPr="000F08B4">
      <w:rPr>
        <w:b/>
        <w:color w:val="000066"/>
        <w:sz w:val="32"/>
        <w:szCs w:val="32"/>
      </w:rPr>
      <w:t xml:space="preserve"> </w:t>
    </w:r>
    <w:sdt>
      <w:sdtPr>
        <w:rPr>
          <w:rFonts w:cs="Arial"/>
          <w:b/>
        </w:rPr>
        <w:id w:val="-100188324"/>
        <w:docPartObj>
          <w:docPartGallery w:val="Page Numbers (Bottom of Page)"/>
          <w:docPartUnique/>
        </w:docPartObj>
      </w:sdtPr>
      <w:sdtEndPr/>
      <w:sdtContent>
        <w:r w:rsidRPr="000F08B4">
          <w:rPr>
            <w:rFonts w:cs="Arial"/>
            <w:b/>
            <w:color w:val="000066"/>
          </w:rPr>
          <w:t xml:space="preserve"> |  </w:t>
        </w:r>
        <w:r w:rsidRPr="000F08B4">
          <w:rPr>
            <w:rFonts w:cs="Arial"/>
            <w:b/>
            <w:color w:val="000066"/>
          </w:rPr>
          <w:fldChar w:fldCharType="begin"/>
        </w:r>
        <w:r w:rsidRPr="000F08B4">
          <w:rPr>
            <w:rFonts w:cs="Arial"/>
            <w:b/>
            <w:color w:val="000066"/>
          </w:rPr>
          <w:instrText xml:space="preserve"> PAGE   \* MERGEFORMAT </w:instrText>
        </w:r>
        <w:r w:rsidRPr="000F08B4">
          <w:rPr>
            <w:rFonts w:cs="Arial"/>
            <w:b/>
            <w:color w:val="000066"/>
          </w:rPr>
          <w:fldChar w:fldCharType="separate"/>
        </w:r>
        <w:r w:rsidR="00F11B70">
          <w:rPr>
            <w:rFonts w:cs="Arial"/>
            <w:b/>
            <w:noProof/>
            <w:color w:val="000066"/>
          </w:rPr>
          <w:t>16</w:t>
        </w:r>
        <w:r w:rsidRPr="000F08B4">
          <w:rPr>
            <w:rFonts w:cs="Arial"/>
            <w:b/>
            <w:color w:val="000066"/>
          </w:rPr>
          <w:fldChar w:fldCharType="end"/>
        </w:r>
      </w:sdtContent>
    </w:sdt>
  </w:p>
  <w:p w:rsidR="00055B1C" w:rsidRDefault="00055B1C">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B1C" w:rsidRPr="000F08B4" w:rsidRDefault="00055B1C" w:rsidP="00FA3FF9">
    <w:pPr>
      <w:pStyle w:val="Altbilgi"/>
      <w:tabs>
        <w:tab w:val="left" w:pos="1053"/>
      </w:tabs>
      <w:jc w:val="left"/>
      <w:rPr>
        <w:rFonts w:cs="Arial"/>
        <w:b/>
        <w:color w:val="000066"/>
      </w:rPr>
    </w:pPr>
    <w:r>
      <w:rPr>
        <w:rFonts w:cs="Arial"/>
        <w:b/>
        <w:color w:val="000066"/>
      </w:rPr>
      <w:tab/>
    </w:r>
    <w:r>
      <w:rPr>
        <w:rFonts w:cs="Arial"/>
        <w:b/>
        <w:color w:val="000066"/>
      </w:rPr>
      <w:tab/>
    </w:r>
    <w:r>
      <w:rPr>
        <w:rFonts w:cs="Arial"/>
        <w:b/>
        <w:color w:val="000066"/>
      </w:rPr>
      <w:tab/>
    </w:r>
    <w:r w:rsidRPr="000F08B4">
      <w:rPr>
        <w:rFonts w:cs="Arial"/>
        <w:b/>
        <w:color w:val="000066"/>
      </w:rPr>
      <w:t>www.kto.org.tr</w:t>
    </w:r>
    <w:r w:rsidRPr="000F08B4">
      <w:rPr>
        <w:b/>
        <w:color w:val="000066"/>
        <w:sz w:val="32"/>
        <w:szCs w:val="32"/>
      </w:rPr>
      <w:t xml:space="preserve"> </w:t>
    </w:r>
    <w:sdt>
      <w:sdtPr>
        <w:rPr>
          <w:rFonts w:cs="Arial"/>
          <w:b/>
        </w:rPr>
        <w:id w:val="-1787494227"/>
        <w:docPartObj>
          <w:docPartGallery w:val="Page Numbers (Bottom of Page)"/>
          <w:docPartUnique/>
        </w:docPartObj>
      </w:sdtPr>
      <w:sdtEndPr/>
      <w:sdtContent>
        <w:r w:rsidRPr="000F08B4">
          <w:rPr>
            <w:rFonts w:cs="Arial"/>
            <w:b/>
            <w:color w:val="000066"/>
          </w:rPr>
          <w:t xml:space="preserve"> |  </w:t>
        </w:r>
        <w:r w:rsidRPr="000F08B4">
          <w:rPr>
            <w:rFonts w:cs="Arial"/>
            <w:b/>
            <w:color w:val="000066"/>
          </w:rPr>
          <w:fldChar w:fldCharType="begin"/>
        </w:r>
        <w:r w:rsidRPr="000F08B4">
          <w:rPr>
            <w:rFonts w:cs="Arial"/>
            <w:b/>
            <w:color w:val="000066"/>
          </w:rPr>
          <w:instrText xml:space="preserve"> PAGE   \* MERGEFORMAT </w:instrText>
        </w:r>
        <w:r w:rsidRPr="000F08B4">
          <w:rPr>
            <w:rFonts w:cs="Arial"/>
            <w:b/>
            <w:color w:val="000066"/>
          </w:rPr>
          <w:fldChar w:fldCharType="separate"/>
        </w:r>
        <w:r w:rsidR="00F11B70">
          <w:rPr>
            <w:rFonts w:cs="Arial"/>
            <w:b/>
            <w:noProof/>
            <w:color w:val="000066"/>
          </w:rPr>
          <w:t>19</w:t>
        </w:r>
        <w:r w:rsidRPr="000F08B4">
          <w:rPr>
            <w:rFonts w:cs="Arial"/>
            <w:b/>
            <w:color w:val="000066"/>
          </w:rPr>
          <w:fldChar w:fldCharType="end"/>
        </w:r>
      </w:sdtContent>
    </w:sdt>
  </w:p>
  <w:p w:rsidR="00055B1C" w:rsidRDefault="00055B1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AA6" w:rsidRDefault="00BA1AA6">
      <w:pPr>
        <w:spacing w:after="0" w:line="240" w:lineRule="auto"/>
      </w:pPr>
      <w:r>
        <w:separator/>
      </w:r>
    </w:p>
  </w:footnote>
  <w:footnote w:type="continuationSeparator" w:id="0">
    <w:p w:rsidR="00BA1AA6" w:rsidRDefault="00BA1AA6">
      <w:pPr>
        <w:spacing w:after="0" w:line="240" w:lineRule="auto"/>
      </w:pPr>
      <w:r>
        <w:continuationSeparator/>
      </w:r>
    </w:p>
  </w:footnote>
  <w:footnote w:id="1">
    <w:p w:rsidR="00055B1C" w:rsidRPr="00F31BC3" w:rsidRDefault="00055B1C" w:rsidP="003E4444">
      <w:pPr>
        <w:spacing w:after="0" w:line="240" w:lineRule="auto"/>
        <w:rPr>
          <w:rFonts w:cs="Arial"/>
          <w:szCs w:val="20"/>
        </w:rPr>
      </w:pPr>
      <w:r w:rsidRPr="00F31BC3">
        <w:rPr>
          <w:rStyle w:val="DipnotBavurusu"/>
          <w:rFonts w:cs="Arial"/>
          <w:b/>
        </w:rPr>
        <w:footnoteRef/>
      </w:r>
      <w:r w:rsidRPr="00F31BC3">
        <w:rPr>
          <w:rFonts w:cs="Arial"/>
          <w:sz w:val="24"/>
        </w:rPr>
        <w:t xml:space="preserve"> </w:t>
      </w:r>
      <w:r w:rsidRPr="00F31BC3">
        <w:rPr>
          <w:rFonts w:cs="Arial"/>
          <w:szCs w:val="20"/>
        </w:rPr>
        <w:t>Stok düzeyinde pozitif değer stok düzeyinin normalin altında olduğunu ifade etmektedir.</w:t>
      </w:r>
    </w:p>
    <w:p w:rsidR="00055B1C" w:rsidRPr="007F57A7" w:rsidRDefault="00055B1C" w:rsidP="003E4444">
      <w:pPr>
        <w:spacing w:after="0" w:line="240" w:lineRule="auto"/>
        <w:rPr>
          <w:rFonts w:cs="Arial"/>
          <w:szCs w:val="20"/>
        </w:rPr>
      </w:pPr>
      <w:r w:rsidRPr="00F31BC3">
        <w:rPr>
          <w:rFonts w:cs="Arial"/>
          <w:b/>
          <w:sz w:val="24"/>
        </w:rPr>
        <w:t xml:space="preserve">  </w:t>
      </w:r>
      <w:r w:rsidRPr="00F31BC3">
        <w:rPr>
          <w:rFonts w:cs="Arial"/>
          <w:szCs w:val="20"/>
        </w:rPr>
        <w:t>Tablo-</w:t>
      </w:r>
      <w:r>
        <w:rPr>
          <w:rFonts w:cs="Arial"/>
          <w:szCs w:val="20"/>
        </w:rPr>
        <w:t>2’de</w:t>
      </w:r>
      <w:r w:rsidRPr="00F31BC3">
        <w:rPr>
          <w:rFonts w:cs="Arial"/>
          <w:szCs w:val="20"/>
        </w:rPr>
        <w:t>ki (-) değerler negatif beklentilerin pozitif beklentilerden fazla olduğunu ifade etmektedir.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B1C" w:rsidRDefault="00055B1C" w:rsidP="002A470B">
    <w:pPr>
      <w:pStyle w:val="stbilgi"/>
      <w:ind w:left="-567" w:firstLine="567"/>
    </w:pPr>
    <w:r>
      <w:rPr>
        <w:noProof/>
        <w:lang w:eastAsia="tr-TR"/>
      </w:rPr>
      <w:drawing>
        <wp:inline distT="0" distB="0" distL="0" distR="0" wp14:anchorId="29360054" wp14:editId="17B7529C">
          <wp:extent cx="6237027" cy="1009934"/>
          <wp:effectExtent l="0" t="0" r="0" b="0"/>
          <wp:docPr id="9" name="Resim 5" descr="C:\Users\tepav\Desktop\K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pav\Desktop\KOPE.jpg"/>
                  <pic:cNvPicPr>
                    <a:picLocks noChangeAspect="1" noChangeArrowheads="1"/>
                  </pic:cNvPicPr>
                </pic:nvPicPr>
                <pic:blipFill>
                  <a:blip r:embed="rId1"/>
                  <a:srcRect/>
                  <a:stretch>
                    <a:fillRect/>
                  </a:stretch>
                </pic:blipFill>
                <pic:spPr bwMode="auto">
                  <a:xfrm>
                    <a:off x="0" y="0"/>
                    <a:ext cx="6268026" cy="101495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19" w:type="pct"/>
      <w:tblCellMar>
        <w:top w:w="58" w:type="dxa"/>
        <w:left w:w="115" w:type="dxa"/>
        <w:bottom w:w="58" w:type="dxa"/>
        <w:right w:w="115" w:type="dxa"/>
      </w:tblCellMar>
      <w:tblLook w:val="04A0" w:firstRow="1" w:lastRow="0" w:firstColumn="1" w:lastColumn="0" w:noHBand="0" w:noVBand="1"/>
    </w:tblPr>
    <w:tblGrid>
      <w:gridCol w:w="3091"/>
      <w:gridCol w:w="6804"/>
    </w:tblGrid>
    <w:tr w:rsidR="00055B1C" w:rsidTr="002A470B">
      <w:trPr>
        <w:trHeight w:hRule="exact" w:val="1593"/>
      </w:trPr>
      <w:tc>
        <w:tcPr>
          <w:tcW w:w="1562" w:type="pct"/>
          <w:tcBorders>
            <w:right w:val="single" w:sz="18" w:space="0" w:color="4F81BD" w:themeColor="accent1"/>
          </w:tcBorders>
        </w:tcPr>
        <w:p w:rsidR="00055B1C" w:rsidRDefault="00055B1C" w:rsidP="002A470B">
          <w:pPr>
            <w:pStyle w:val="stbilgi"/>
            <w:ind w:firstLine="0"/>
            <w:jc w:val="center"/>
          </w:pPr>
          <w:r>
            <w:rPr>
              <w:noProof/>
              <w:lang w:eastAsia="tr-TR"/>
            </w:rPr>
            <w:drawing>
              <wp:inline distT="0" distB="0" distL="0" distR="0" wp14:anchorId="1472187F" wp14:editId="78227B54">
                <wp:extent cx="1438275" cy="1078706"/>
                <wp:effectExtent l="19050" t="0" r="9525" b="0"/>
                <wp:docPr id="12" name="Resim 12" descr="C:\Users\tepav\Desktop\KTO Proje\KTO\KTO_logo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pav\Desktop\KTO Proje\KTO\KTO_logo_300.jpg"/>
                        <pic:cNvPicPr>
                          <a:picLocks noChangeAspect="1" noChangeArrowheads="1"/>
                        </pic:cNvPicPr>
                      </pic:nvPicPr>
                      <pic:blipFill>
                        <a:blip r:embed="rId1"/>
                        <a:srcRect/>
                        <a:stretch>
                          <a:fillRect/>
                        </a:stretch>
                      </pic:blipFill>
                      <pic:spPr bwMode="auto">
                        <a:xfrm>
                          <a:off x="0" y="0"/>
                          <a:ext cx="1438275" cy="1078706"/>
                        </a:xfrm>
                        <a:prstGeom prst="rect">
                          <a:avLst/>
                        </a:prstGeom>
                        <a:noFill/>
                        <a:ln w="9525">
                          <a:noFill/>
                          <a:miter lim="800000"/>
                          <a:headEnd/>
                          <a:tailEnd/>
                        </a:ln>
                      </pic:spPr>
                    </pic:pic>
                  </a:graphicData>
                </a:graphic>
              </wp:inline>
            </w:drawing>
          </w:r>
        </w:p>
      </w:tc>
      <w:tc>
        <w:tcPr>
          <w:tcW w:w="3438" w:type="pct"/>
          <w:tcBorders>
            <w:left w:val="single" w:sz="18" w:space="0" w:color="4F81BD" w:themeColor="accent1"/>
          </w:tcBorders>
          <w:shd w:val="clear" w:color="auto" w:fill="4F81BD" w:themeFill="accent1"/>
          <w:vAlign w:val="center"/>
        </w:tcPr>
        <w:p w:rsidR="00055B1C" w:rsidRPr="002A470B" w:rsidRDefault="00055B1C" w:rsidP="002A470B">
          <w:pPr>
            <w:jc w:val="center"/>
            <w:rPr>
              <w:rFonts w:ascii="Arial Black" w:hAnsi="Arial Black"/>
              <w:b/>
              <w:color w:val="002060"/>
              <w:sz w:val="52"/>
              <w:szCs w:val="70"/>
            </w:rPr>
          </w:pPr>
          <w:r w:rsidRPr="002A470B">
            <w:rPr>
              <w:rFonts w:ascii="Arial Black" w:hAnsi="Arial Black"/>
              <w:b/>
              <w:color w:val="002060"/>
              <w:sz w:val="32"/>
              <w:szCs w:val="70"/>
            </w:rPr>
            <w:t>KONYA İSTİHDAM İZLEME BÜLTENİ</w:t>
          </w:r>
        </w:p>
      </w:tc>
    </w:tr>
  </w:tbl>
  <w:p w:rsidR="00055B1C" w:rsidRDefault="00055B1C" w:rsidP="002A470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B1C" w:rsidRDefault="00055B1C" w:rsidP="00AB7A3B">
    <w:pPr>
      <w:pStyle w:val="stbilgi"/>
      <w:ind w:left="-567" w:firstLine="141"/>
    </w:pPr>
    <w:r>
      <w:rPr>
        <w:noProof/>
        <w:lang w:eastAsia="tr-TR"/>
      </w:rPr>
      <mc:AlternateContent>
        <mc:Choice Requires="wps">
          <w:drawing>
            <wp:anchor distT="0" distB="0" distL="114300" distR="114300" simplePos="0" relativeHeight="251659264" behindDoc="0" locked="0" layoutInCell="1" allowOverlap="1" wp14:anchorId="2138C3E1" wp14:editId="19BF6309">
              <wp:simplePos x="0" y="0"/>
              <wp:positionH relativeFrom="column">
                <wp:posOffset>1260081</wp:posOffset>
              </wp:positionH>
              <wp:positionV relativeFrom="paragraph">
                <wp:posOffset>7073</wp:posOffset>
              </wp:positionV>
              <wp:extent cx="4831308" cy="977462"/>
              <wp:effectExtent l="0" t="0" r="7620"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308" cy="977462"/>
                      </a:xfrm>
                      <a:prstGeom prst="rect">
                        <a:avLst/>
                      </a:prstGeom>
                      <a:solidFill>
                        <a:schemeClr val="accent1"/>
                      </a:solidFill>
                      <a:ln w="9525">
                        <a:noFill/>
                        <a:miter lim="800000"/>
                        <a:headEnd/>
                        <a:tailEnd/>
                      </a:ln>
                    </wps:spPr>
                    <wps:txbx>
                      <w:txbxContent>
                        <w:p w:rsidR="00055B1C" w:rsidRPr="00465BC5" w:rsidRDefault="00055B1C" w:rsidP="002A470B">
                          <w:pPr>
                            <w:jc w:val="center"/>
                            <w:rPr>
                              <w:b/>
                              <w:sz w:val="10"/>
                              <w:szCs w:val="30"/>
                            </w:rPr>
                          </w:pPr>
                        </w:p>
                        <w:p w:rsidR="00055B1C" w:rsidRPr="004C618E" w:rsidRDefault="00055B1C" w:rsidP="004C618E">
                          <w:pPr>
                            <w:jc w:val="center"/>
                            <w:rPr>
                              <w:rFonts w:ascii="Arial Black" w:hAnsi="Arial Black"/>
                              <w:b/>
                              <w:color w:val="002060"/>
                              <w:sz w:val="32"/>
                              <w:szCs w:val="70"/>
                            </w:rPr>
                          </w:pPr>
                          <w:r w:rsidRPr="004C618E">
                            <w:rPr>
                              <w:rFonts w:ascii="Arial Black" w:hAnsi="Arial Black"/>
                              <w:b/>
                              <w:color w:val="002060"/>
                              <w:sz w:val="32"/>
                              <w:szCs w:val="70"/>
                            </w:rPr>
                            <w:t>KONYA DIŞ TİCARET BÜLTENİ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9.2pt;margin-top:.55pt;width:380.4pt;height:7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" fillcolor="#4f81bd [3204]" stroked="f">
              <v:textbox>
                <w:txbxContent>
                  <w:p w:rsidR="001710FC" w:rsidRPr="00465BC5" w:rsidRDefault="001710FC" w:rsidP="002A470B">
                    <w:pPr>
                      <w:jc w:val="center"/>
                      <w:rPr>
                        <w:b/>
                        <w:sz w:val="10"/>
                        <w:szCs w:val="30"/>
                      </w:rPr>
                    </w:pPr>
                  </w:p>
                  <w:p w:rsidR="001710FC" w:rsidRPr="004C618E" w:rsidRDefault="001710FC" w:rsidP="004C618E">
                    <w:pPr>
                      <w:jc w:val="center"/>
                      <w:rPr>
                        <w:rFonts w:ascii="Arial Black" w:hAnsi="Arial Black"/>
                        <w:b/>
                        <w:color w:val="002060"/>
                        <w:sz w:val="32"/>
                        <w:szCs w:val="70"/>
                      </w:rPr>
                    </w:pPr>
                    <w:r w:rsidRPr="004C618E">
                      <w:rPr>
                        <w:rFonts w:ascii="Arial Black" w:hAnsi="Arial Black"/>
                        <w:b/>
                        <w:color w:val="002060"/>
                        <w:sz w:val="32"/>
                        <w:szCs w:val="70"/>
                      </w:rPr>
                      <w:t>KONYA DIŞ TİCARET BÜLTENİ</w:t>
                    </w:r>
                  </w:p>
                </w:txbxContent>
              </v:textbox>
            </v:shape>
          </w:pict>
        </mc:Fallback>
      </mc:AlternateContent>
    </w:r>
    <w:r>
      <w:rPr>
        <w:noProof/>
        <w:lang w:eastAsia="tr-TR"/>
      </w:rPr>
      <w:drawing>
        <wp:inline distT="0" distB="0" distL="0" distR="0" wp14:anchorId="5E471102" wp14:editId="6764512A">
          <wp:extent cx="1438275" cy="1078706"/>
          <wp:effectExtent l="19050" t="0" r="9525" b="0"/>
          <wp:docPr id="7" name="Resim 7" descr="C:\Users\tepav\Desktop\KTO Proje\KTO\KTO_logo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pav\Desktop\KTO Proje\KTO\KTO_logo_300.jpg"/>
                  <pic:cNvPicPr>
                    <a:picLocks noChangeAspect="1" noChangeArrowheads="1"/>
                  </pic:cNvPicPr>
                </pic:nvPicPr>
                <pic:blipFill>
                  <a:blip r:embed="rId1"/>
                  <a:srcRect/>
                  <a:stretch>
                    <a:fillRect/>
                  </a:stretch>
                </pic:blipFill>
                <pic:spPr bwMode="auto">
                  <a:xfrm>
                    <a:off x="0" y="0"/>
                    <a:ext cx="1438275" cy="107870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8A2C1E"/>
    <w:multiLevelType w:val="hybridMultilevel"/>
    <w:tmpl w:val="7B82C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0E2"/>
    <w:rsid w:val="0005022F"/>
    <w:rsid w:val="00055B1C"/>
    <w:rsid w:val="001176C8"/>
    <w:rsid w:val="00120117"/>
    <w:rsid w:val="001710FC"/>
    <w:rsid w:val="00180983"/>
    <w:rsid w:val="002408EF"/>
    <w:rsid w:val="00284845"/>
    <w:rsid w:val="002A1D0C"/>
    <w:rsid w:val="002A470B"/>
    <w:rsid w:val="002A60A9"/>
    <w:rsid w:val="002B7532"/>
    <w:rsid w:val="00397F9A"/>
    <w:rsid w:val="003E1B5C"/>
    <w:rsid w:val="003E3697"/>
    <w:rsid w:val="003E4444"/>
    <w:rsid w:val="003F3CA3"/>
    <w:rsid w:val="00406C68"/>
    <w:rsid w:val="00434472"/>
    <w:rsid w:val="004551BD"/>
    <w:rsid w:val="004C618E"/>
    <w:rsid w:val="00533180"/>
    <w:rsid w:val="00567D41"/>
    <w:rsid w:val="005E5282"/>
    <w:rsid w:val="005F3858"/>
    <w:rsid w:val="00600F37"/>
    <w:rsid w:val="0060600E"/>
    <w:rsid w:val="0075067C"/>
    <w:rsid w:val="007560F5"/>
    <w:rsid w:val="007A5266"/>
    <w:rsid w:val="007A56BB"/>
    <w:rsid w:val="007A7115"/>
    <w:rsid w:val="007D19F9"/>
    <w:rsid w:val="007F3B00"/>
    <w:rsid w:val="008E52D5"/>
    <w:rsid w:val="00907E06"/>
    <w:rsid w:val="00935B9E"/>
    <w:rsid w:val="009578E8"/>
    <w:rsid w:val="009861B2"/>
    <w:rsid w:val="00986B7B"/>
    <w:rsid w:val="0099569A"/>
    <w:rsid w:val="009D18A2"/>
    <w:rsid w:val="00A521DA"/>
    <w:rsid w:val="00A535A1"/>
    <w:rsid w:val="00A64605"/>
    <w:rsid w:val="00A91D63"/>
    <w:rsid w:val="00AA6227"/>
    <w:rsid w:val="00AB7A3B"/>
    <w:rsid w:val="00AD0FFE"/>
    <w:rsid w:val="00B3155C"/>
    <w:rsid w:val="00B50690"/>
    <w:rsid w:val="00B60D2D"/>
    <w:rsid w:val="00B8623D"/>
    <w:rsid w:val="00BA1AA6"/>
    <w:rsid w:val="00BA4C88"/>
    <w:rsid w:val="00BE5FFB"/>
    <w:rsid w:val="00C8343D"/>
    <w:rsid w:val="00C90F0F"/>
    <w:rsid w:val="00C937FB"/>
    <w:rsid w:val="00D02B92"/>
    <w:rsid w:val="00D03120"/>
    <w:rsid w:val="00D81961"/>
    <w:rsid w:val="00E260E2"/>
    <w:rsid w:val="00EF5C37"/>
    <w:rsid w:val="00F11B70"/>
    <w:rsid w:val="00F12802"/>
    <w:rsid w:val="00F129BE"/>
    <w:rsid w:val="00FA3FF9"/>
    <w:rsid w:val="00FC1B6B"/>
    <w:rsid w:val="00FC1B81"/>
    <w:rsid w:val="00FE4B2B"/>
    <w:rsid w:val="00FE70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0600E"/>
    <w:pPr>
      <w:keepNext/>
      <w:keepLines/>
      <w:spacing w:before="480" w:after="0" w:line="300" w:lineRule="auto"/>
      <w:ind w:firstLine="340"/>
      <w:jc w:val="both"/>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0600E"/>
    <w:pPr>
      <w:keepNext/>
      <w:keepLines/>
      <w:spacing w:before="200" w:after="0" w:line="300" w:lineRule="auto"/>
      <w:ind w:firstLine="340"/>
      <w:jc w:val="both"/>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0600E"/>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60600E"/>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E260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60E2"/>
    <w:rPr>
      <w:rFonts w:ascii="Tahoma" w:hAnsi="Tahoma" w:cs="Tahoma"/>
      <w:sz w:val="16"/>
      <w:szCs w:val="16"/>
    </w:rPr>
  </w:style>
  <w:style w:type="paragraph" w:styleId="KonuBal">
    <w:name w:val="Title"/>
    <w:basedOn w:val="Normal"/>
    <w:next w:val="Normal"/>
    <w:link w:val="KonuBalChar"/>
    <w:uiPriority w:val="10"/>
    <w:qFormat/>
    <w:rsid w:val="006060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0600E"/>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60600E"/>
    <w:pPr>
      <w:numPr>
        <w:ilvl w:val="1"/>
      </w:numPr>
      <w:ind w:firstLine="340"/>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60600E"/>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stbilgiChar">
    <w:name w:val="Üstbilgi Char"/>
    <w:basedOn w:val="VarsaylanParagrafYazTipi"/>
    <w:link w:val="stbilgi"/>
    <w:uiPriority w:val="99"/>
    <w:rsid w:val="0060600E"/>
    <w:rPr>
      <w:sz w:val="24"/>
      <w:szCs w:val="24"/>
    </w:rPr>
  </w:style>
  <w:style w:type="paragraph" w:styleId="Altbilgi">
    <w:name w:val="footer"/>
    <w:basedOn w:val="Normal"/>
    <w:link w:val="Al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AltbilgiChar">
    <w:name w:val="Altbilgi Char"/>
    <w:basedOn w:val="VarsaylanParagrafYazTipi"/>
    <w:link w:val="Altbilgi"/>
    <w:uiPriority w:val="99"/>
    <w:rsid w:val="0060600E"/>
    <w:rPr>
      <w:sz w:val="24"/>
      <w:szCs w:val="24"/>
    </w:rPr>
  </w:style>
  <w:style w:type="table" w:styleId="OrtaKlavuz3-Vurgu1">
    <w:name w:val="Medium Grid 3 Accent 1"/>
    <w:basedOn w:val="NormalTablo"/>
    <w:uiPriority w:val="69"/>
    <w:rsid w:val="006060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eParagraf">
    <w:name w:val="List Paragraph"/>
    <w:basedOn w:val="Normal"/>
    <w:uiPriority w:val="34"/>
    <w:qFormat/>
    <w:rsid w:val="0005022F"/>
    <w:pPr>
      <w:ind w:left="720"/>
      <w:contextualSpacing/>
    </w:pPr>
  </w:style>
  <w:style w:type="paragraph" w:styleId="AralkYok">
    <w:name w:val="No Spacing"/>
    <w:uiPriority w:val="1"/>
    <w:qFormat/>
    <w:rsid w:val="00397F9A"/>
    <w:pPr>
      <w:spacing w:after="0" w:line="240" w:lineRule="auto"/>
    </w:pPr>
    <w:rPr>
      <w:rFonts w:eastAsiaTheme="minorEastAsia"/>
      <w:lang w:eastAsia="tr-TR"/>
    </w:rPr>
  </w:style>
  <w:style w:type="table" w:customStyle="1" w:styleId="OrtaKlavuz3-Vurgu11">
    <w:name w:val="Orta Kılavuz 3 - Vurgu 11"/>
    <w:basedOn w:val="NormalTablo"/>
    <w:next w:val="OrtaKlavuz3-Vurgu1"/>
    <w:uiPriority w:val="69"/>
    <w:rsid w:val="00567D41"/>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1">
    <w:name w:val="Liste Yok1"/>
    <w:next w:val="ListeYok"/>
    <w:uiPriority w:val="99"/>
    <w:semiHidden/>
    <w:unhideWhenUsed/>
    <w:rsid w:val="0075067C"/>
  </w:style>
  <w:style w:type="table" w:styleId="TabloKlavuzu">
    <w:name w:val="Table Grid"/>
    <w:basedOn w:val="NormalTablo"/>
    <w:uiPriority w:val="59"/>
    <w:rsid w:val="0075067C"/>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75067C"/>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AA6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DipnotBavurusu">
    <w:name w:val="footnote reference"/>
    <w:basedOn w:val="VarsaylanParagrafYazTipi"/>
    <w:uiPriority w:val="99"/>
    <w:semiHidden/>
    <w:unhideWhenUsed/>
    <w:rsid w:val="00AA6227"/>
    <w:rPr>
      <w:vertAlign w:val="superscript"/>
    </w:rPr>
  </w:style>
  <w:style w:type="numbering" w:customStyle="1" w:styleId="ListeYok2">
    <w:name w:val="Liste Yok2"/>
    <w:next w:val="ListeYok"/>
    <w:uiPriority w:val="99"/>
    <w:semiHidden/>
    <w:unhideWhenUsed/>
    <w:rsid w:val="007A5266"/>
  </w:style>
  <w:style w:type="table" w:customStyle="1" w:styleId="TabloKlavuzu1">
    <w:name w:val="Tablo Kılavuzu1"/>
    <w:basedOn w:val="NormalTablo"/>
    <w:next w:val="TabloKlavuzu"/>
    <w:uiPriority w:val="59"/>
    <w:rsid w:val="007A5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4">
    <w:name w:val="Orta Kılavuz 3 - Vurgu 14"/>
    <w:basedOn w:val="NormalTablo"/>
    <w:next w:val="OrtaKlavuz3-Vurgu1"/>
    <w:uiPriority w:val="69"/>
    <w:rsid w:val="007A526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0600E"/>
    <w:pPr>
      <w:keepNext/>
      <w:keepLines/>
      <w:spacing w:before="480" w:after="0" w:line="300" w:lineRule="auto"/>
      <w:ind w:firstLine="340"/>
      <w:jc w:val="both"/>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0600E"/>
    <w:pPr>
      <w:keepNext/>
      <w:keepLines/>
      <w:spacing w:before="200" w:after="0" w:line="300" w:lineRule="auto"/>
      <w:ind w:firstLine="340"/>
      <w:jc w:val="both"/>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0600E"/>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60600E"/>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E260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60E2"/>
    <w:rPr>
      <w:rFonts w:ascii="Tahoma" w:hAnsi="Tahoma" w:cs="Tahoma"/>
      <w:sz w:val="16"/>
      <w:szCs w:val="16"/>
    </w:rPr>
  </w:style>
  <w:style w:type="paragraph" w:styleId="KonuBal">
    <w:name w:val="Title"/>
    <w:basedOn w:val="Normal"/>
    <w:next w:val="Normal"/>
    <w:link w:val="KonuBalChar"/>
    <w:uiPriority w:val="10"/>
    <w:qFormat/>
    <w:rsid w:val="006060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0600E"/>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60600E"/>
    <w:pPr>
      <w:numPr>
        <w:ilvl w:val="1"/>
      </w:numPr>
      <w:ind w:firstLine="340"/>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60600E"/>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stbilgiChar">
    <w:name w:val="Üstbilgi Char"/>
    <w:basedOn w:val="VarsaylanParagrafYazTipi"/>
    <w:link w:val="stbilgi"/>
    <w:uiPriority w:val="99"/>
    <w:rsid w:val="0060600E"/>
    <w:rPr>
      <w:sz w:val="24"/>
      <w:szCs w:val="24"/>
    </w:rPr>
  </w:style>
  <w:style w:type="paragraph" w:styleId="Altbilgi">
    <w:name w:val="footer"/>
    <w:basedOn w:val="Normal"/>
    <w:link w:val="AltbilgiChar"/>
    <w:uiPriority w:val="99"/>
    <w:unhideWhenUsed/>
    <w:rsid w:val="0060600E"/>
    <w:pPr>
      <w:tabs>
        <w:tab w:val="center" w:pos="4536"/>
        <w:tab w:val="right" w:pos="9072"/>
      </w:tabs>
      <w:spacing w:after="0" w:line="240" w:lineRule="auto"/>
      <w:ind w:firstLine="340"/>
      <w:jc w:val="both"/>
    </w:pPr>
    <w:rPr>
      <w:sz w:val="24"/>
      <w:szCs w:val="24"/>
    </w:rPr>
  </w:style>
  <w:style w:type="character" w:customStyle="1" w:styleId="AltbilgiChar">
    <w:name w:val="Altbilgi Char"/>
    <w:basedOn w:val="VarsaylanParagrafYazTipi"/>
    <w:link w:val="Altbilgi"/>
    <w:uiPriority w:val="99"/>
    <w:rsid w:val="0060600E"/>
    <w:rPr>
      <w:sz w:val="24"/>
      <w:szCs w:val="24"/>
    </w:rPr>
  </w:style>
  <w:style w:type="table" w:styleId="OrtaKlavuz3-Vurgu1">
    <w:name w:val="Medium Grid 3 Accent 1"/>
    <w:basedOn w:val="NormalTablo"/>
    <w:uiPriority w:val="69"/>
    <w:rsid w:val="006060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eParagraf">
    <w:name w:val="List Paragraph"/>
    <w:basedOn w:val="Normal"/>
    <w:uiPriority w:val="34"/>
    <w:qFormat/>
    <w:rsid w:val="0005022F"/>
    <w:pPr>
      <w:ind w:left="720"/>
      <w:contextualSpacing/>
    </w:pPr>
  </w:style>
  <w:style w:type="paragraph" w:styleId="AralkYok">
    <w:name w:val="No Spacing"/>
    <w:uiPriority w:val="1"/>
    <w:qFormat/>
    <w:rsid w:val="00397F9A"/>
    <w:pPr>
      <w:spacing w:after="0" w:line="240" w:lineRule="auto"/>
    </w:pPr>
    <w:rPr>
      <w:rFonts w:eastAsiaTheme="minorEastAsia"/>
      <w:lang w:eastAsia="tr-TR"/>
    </w:rPr>
  </w:style>
  <w:style w:type="table" w:customStyle="1" w:styleId="OrtaKlavuz3-Vurgu11">
    <w:name w:val="Orta Kılavuz 3 - Vurgu 11"/>
    <w:basedOn w:val="NormalTablo"/>
    <w:next w:val="OrtaKlavuz3-Vurgu1"/>
    <w:uiPriority w:val="69"/>
    <w:rsid w:val="00567D41"/>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ListeYok1">
    <w:name w:val="Liste Yok1"/>
    <w:next w:val="ListeYok"/>
    <w:uiPriority w:val="99"/>
    <w:semiHidden/>
    <w:unhideWhenUsed/>
    <w:rsid w:val="0075067C"/>
  </w:style>
  <w:style w:type="table" w:styleId="TabloKlavuzu">
    <w:name w:val="Table Grid"/>
    <w:basedOn w:val="NormalTablo"/>
    <w:uiPriority w:val="59"/>
    <w:rsid w:val="0075067C"/>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75067C"/>
    <w:pPr>
      <w:spacing w:after="0" w:line="240" w:lineRule="auto"/>
    </w:pPr>
    <w:rPr>
      <w:rFonts w:eastAsia="Times New Roman"/>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AA6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DipnotBavurusu">
    <w:name w:val="footnote reference"/>
    <w:basedOn w:val="VarsaylanParagrafYazTipi"/>
    <w:uiPriority w:val="99"/>
    <w:semiHidden/>
    <w:unhideWhenUsed/>
    <w:rsid w:val="00AA6227"/>
    <w:rPr>
      <w:vertAlign w:val="superscript"/>
    </w:rPr>
  </w:style>
  <w:style w:type="numbering" w:customStyle="1" w:styleId="ListeYok2">
    <w:name w:val="Liste Yok2"/>
    <w:next w:val="ListeYok"/>
    <w:uiPriority w:val="99"/>
    <w:semiHidden/>
    <w:unhideWhenUsed/>
    <w:rsid w:val="007A5266"/>
  </w:style>
  <w:style w:type="table" w:customStyle="1" w:styleId="TabloKlavuzu1">
    <w:name w:val="Tablo Kılavuzu1"/>
    <w:basedOn w:val="NormalTablo"/>
    <w:next w:val="TabloKlavuzu"/>
    <w:uiPriority w:val="59"/>
    <w:rsid w:val="007A5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14">
    <w:name w:val="Orta Kılavuz 3 - Vurgu 14"/>
    <w:basedOn w:val="NormalTablo"/>
    <w:next w:val="OrtaKlavuz3-Vurgu1"/>
    <w:uiPriority w:val="69"/>
    <w:rsid w:val="007A526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30.png"/><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0.xml"/><Relationship Id="rId7"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eader" Target="header2.xml"/><Relationship Id="rId37" Type="http://schemas.openxmlformats.org/officeDocument/2006/relationships/footer" Target="footer5.xml"/><Relationship Id="rId5" Type="http://schemas.openxmlformats.org/officeDocument/2006/relationships/settings" Target="settings.xml"/><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header" Target="header3.xml"/><Relationship Id="rId19" Type="http://schemas.openxmlformats.org/officeDocument/2006/relationships/footer" Target="footer1.xml"/><Relationship Id="rId31"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20R10\Desktop\usb%20transfer\tepav\Konya%20Ticaret%20Odas&#305;%20Projeler\Perakende%20G&#252;ven%20Endeksi\Data\2012%20Ekim\Konya_Perakende_G&#252;ven_Endeksi_Anketi_Tanim_ve_Sonuclari_2012_1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KTO%20Ayl&#305;k%20D&#305;&#351;Ticaret%20B&#252;ltenleri\Konya-D&#305;&#351;TicaretVerileri-Mart20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KTO%20Ayl&#305;k%20D&#305;&#351;Ticaret%20B&#252;ltenleri\Konya-D&#305;&#351;TicaretVerileri-Mart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20R10\Desktop\usb%20transfer\tepav\Konya%20Ticaret%20Odas&#305;%20Projeler\Perakende%20G&#252;ven%20Endeksi\Data\2012%20Ekim\Konya_Perakende_G&#252;ven_Endeksi_Anketi_Tanim_ve_Sonuclari_2012_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20R10\Desktop\usb%20transfer\tepav\Konya%20Ticaret%20Odas&#305;%20Projeler\Perakende%20G&#252;ven%20Endeksi\Data\2012%20Ekim\Konya_Perakende_G&#252;ven_Endeksi_Anketi_Tanim_ve_Sonuclari_2012_1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irat\Downloads\caglayan%20dundar\Konya%20&#304;stihdam.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irat\Downloads\caglayan%20dundar\Konya%20&#304;stihdam.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Firat\Downloads\caglayan%20dundar\Konya%20&#304;stihdam.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Firat\Downloads\caglayan%20dundar\Konya%20&#304;stihdam.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Firat\Downloads\caglayan%20dundar\Konya%20&#304;stihdam.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Firat\Downloads\caglayan%20dundar\Konya%20&#304;stihd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951557093425642E-2"/>
          <c:y val="0.27893175074183979"/>
          <c:w val="0.86456102904492316"/>
          <c:h val="0.55029857843332464"/>
        </c:manualLayout>
      </c:layout>
      <c:lineChart>
        <c:grouping val="standard"/>
        <c:varyColors val="0"/>
        <c:ser>
          <c:idx val="1"/>
          <c:order val="0"/>
          <c:tx>
            <c:strRef>
              <c:f>'Konya Perakende Güven Endeksi'!$A$2</c:f>
              <c:strCache>
                <c:ptCount val="1"/>
                <c:pt idx="0">
                  <c:v>  KOPE (Konya)</c:v>
                </c:pt>
              </c:strCache>
            </c:strRef>
          </c:tx>
          <c:spPr>
            <a:ln w="44450">
              <a:solidFill>
                <a:srgbClr val="92D050"/>
              </a:solidFill>
            </a:ln>
          </c:spPr>
          <c:marker>
            <c:symbol val="none"/>
          </c:marker>
          <c:cat>
            <c:numRef>
              <c:f>'Konya Perakende Güven Endeksi'!$B$1:$J$1</c:f>
              <c:numCache>
                <c:formatCode>[$-41F]mmmm\ yy;@</c:formatCode>
                <c:ptCount val="9"/>
                <c:pt idx="0">
                  <c:v>40940</c:v>
                </c:pt>
                <c:pt idx="1">
                  <c:v>40969</c:v>
                </c:pt>
                <c:pt idx="2">
                  <c:v>41000</c:v>
                </c:pt>
                <c:pt idx="3">
                  <c:v>41030</c:v>
                </c:pt>
                <c:pt idx="4">
                  <c:v>41061</c:v>
                </c:pt>
                <c:pt idx="5">
                  <c:v>41091</c:v>
                </c:pt>
                <c:pt idx="6">
                  <c:v>41122</c:v>
                </c:pt>
                <c:pt idx="7">
                  <c:v>41153</c:v>
                </c:pt>
                <c:pt idx="8">
                  <c:v>41183</c:v>
                </c:pt>
              </c:numCache>
            </c:numRef>
          </c:cat>
          <c:val>
            <c:numRef>
              <c:f>'Konya Perakende Güven Endeksi'!$B$2:$J$2</c:f>
              <c:numCache>
                <c:formatCode>0.0</c:formatCode>
                <c:ptCount val="9"/>
                <c:pt idx="0">
                  <c:v>0.55554999999999899</c:v>
                </c:pt>
                <c:pt idx="1">
                  <c:v>2.6666666666666665</c:v>
                </c:pt>
                <c:pt idx="2">
                  <c:v>7.88889</c:v>
                </c:pt>
                <c:pt idx="3">
                  <c:v>2.55555666666667</c:v>
                </c:pt>
                <c:pt idx="4">
                  <c:v>0.99999999999999878</c:v>
                </c:pt>
                <c:pt idx="5">
                  <c:v>-3.4444433333333353</c:v>
                </c:pt>
                <c:pt idx="6">
                  <c:v>4.8888900000000008</c:v>
                </c:pt>
                <c:pt idx="7">
                  <c:v>-1.7777766666666632</c:v>
                </c:pt>
                <c:pt idx="8">
                  <c:v>-4.1111066666666645</c:v>
                </c:pt>
              </c:numCache>
            </c:numRef>
          </c:val>
          <c:smooth val="0"/>
        </c:ser>
        <c:ser>
          <c:idx val="0"/>
          <c:order val="1"/>
          <c:tx>
            <c:strRef>
              <c:f>'Konya Perakende Güven Endeksi'!$A$3</c:f>
              <c:strCache>
                <c:ptCount val="1"/>
                <c:pt idx="0">
                  <c:v>  TEPE (Türkiye)</c:v>
                </c:pt>
              </c:strCache>
            </c:strRef>
          </c:tx>
          <c:spPr>
            <a:ln w="44450">
              <a:solidFill>
                <a:srgbClr val="FF0000"/>
              </a:solidFill>
            </a:ln>
          </c:spPr>
          <c:marker>
            <c:symbol val="none"/>
          </c:marker>
          <c:cat>
            <c:numRef>
              <c:f>'Konya Perakende Güven Endeksi'!$B$1:$J$1</c:f>
              <c:numCache>
                <c:formatCode>[$-41F]mmmm\ yy;@</c:formatCode>
                <c:ptCount val="9"/>
                <c:pt idx="0">
                  <c:v>40940</c:v>
                </c:pt>
                <c:pt idx="1">
                  <c:v>40969</c:v>
                </c:pt>
                <c:pt idx="2">
                  <c:v>41000</c:v>
                </c:pt>
                <c:pt idx="3">
                  <c:v>41030</c:v>
                </c:pt>
                <c:pt idx="4">
                  <c:v>41061</c:v>
                </c:pt>
                <c:pt idx="5">
                  <c:v>41091</c:v>
                </c:pt>
                <c:pt idx="6">
                  <c:v>41122</c:v>
                </c:pt>
                <c:pt idx="7">
                  <c:v>41153</c:v>
                </c:pt>
                <c:pt idx="8">
                  <c:v>41183</c:v>
                </c:pt>
              </c:numCache>
            </c:numRef>
          </c:cat>
          <c:val>
            <c:numRef>
              <c:f>'Konya Perakende Güven Endeksi'!$B$3:$J$3</c:f>
              <c:numCache>
                <c:formatCode>0.0</c:formatCode>
                <c:ptCount val="9"/>
                <c:pt idx="0">
                  <c:v>-3.5725466666666663</c:v>
                </c:pt>
                <c:pt idx="1">
                  <c:v>0.71002666666666414</c:v>
                </c:pt>
                <c:pt idx="2">
                  <c:v>-0.83334999999999804</c:v>
                </c:pt>
                <c:pt idx="3">
                  <c:v>-1.7808699999999988</c:v>
                </c:pt>
                <c:pt idx="4">
                  <c:v>-8.5619500000000031</c:v>
                </c:pt>
                <c:pt idx="5">
                  <c:v>-3.7415566666666655</c:v>
                </c:pt>
                <c:pt idx="6">
                  <c:v>-2.8875400000000013</c:v>
                </c:pt>
                <c:pt idx="7">
                  <c:v>0.46647666666666604</c:v>
                </c:pt>
                <c:pt idx="8">
                  <c:v>-1.3465066666666679</c:v>
                </c:pt>
              </c:numCache>
            </c:numRef>
          </c:val>
          <c:smooth val="0"/>
        </c:ser>
        <c:ser>
          <c:idx val="2"/>
          <c:order val="2"/>
          <c:tx>
            <c:strRef>
              <c:f>'Konya Perakende Güven Endeksi'!$A$4</c:f>
              <c:strCache>
                <c:ptCount val="1"/>
                <c:pt idx="0">
                  <c:v>  AB-27</c:v>
                </c:pt>
              </c:strCache>
            </c:strRef>
          </c:tx>
          <c:spPr>
            <a:ln w="44450" cap="rnd">
              <a:solidFill>
                <a:schemeClr val="accent1">
                  <a:lumMod val="75000"/>
                </a:schemeClr>
              </a:solidFill>
              <a:prstDash val="solid"/>
              <a:headEnd type="none"/>
              <a:tailEnd type="none" w="sm" len="sm"/>
            </a:ln>
          </c:spPr>
          <c:marker>
            <c:symbol val="none"/>
          </c:marker>
          <c:cat>
            <c:numRef>
              <c:f>'Konya Perakende Güven Endeksi'!$B$1:$J$1</c:f>
              <c:numCache>
                <c:formatCode>[$-41F]mmmm\ yy;@</c:formatCode>
                <c:ptCount val="9"/>
                <c:pt idx="0">
                  <c:v>40940</c:v>
                </c:pt>
                <c:pt idx="1">
                  <c:v>40969</c:v>
                </c:pt>
                <c:pt idx="2">
                  <c:v>41000</c:v>
                </c:pt>
                <c:pt idx="3">
                  <c:v>41030</c:v>
                </c:pt>
                <c:pt idx="4">
                  <c:v>41061</c:v>
                </c:pt>
                <c:pt idx="5">
                  <c:v>41091</c:v>
                </c:pt>
                <c:pt idx="6">
                  <c:v>41122</c:v>
                </c:pt>
                <c:pt idx="7">
                  <c:v>41153</c:v>
                </c:pt>
                <c:pt idx="8">
                  <c:v>41183</c:v>
                </c:pt>
              </c:numCache>
            </c:numRef>
          </c:cat>
          <c:val>
            <c:numRef>
              <c:f>'Konya Perakende Güven Endeksi'!$B$4:$J$4</c:f>
              <c:numCache>
                <c:formatCode>0.0</c:formatCode>
                <c:ptCount val="9"/>
                <c:pt idx="0">
                  <c:v>-11.7</c:v>
                </c:pt>
                <c:pt idx="1">
                  <c:v>-9.8000000000000007</c:v>
                </c:pt>
                <c:pt idx="2">
                  <c:v>-4.9000000000000004</c:v>
                </c:pt>
                <c:pt idx="3">
                  <c:v>-11</c:v>
                </c:pt>
                <c:pt idx="4">
                  <c:v>-7.7</c:v>
                </c:pt>
                <c:pt idx="5">
                  <c:v>-10.5</c:v>
                </c:pt>
                <c:pt idx="6">
                  <c:v>-11.4</c:v>
                </c:pt>
                <c:pt idx="7">
                  <c:v>-13.4</c:v>
                </c:pt>
                <c:pt idx="8">
                  <c:v>-12.1</c:v>
                </c:pt>
              </c:numCache>
            </c:numRef>
          </c:val>
          <c:smooth val="0"/>
        </c:ser>
        <c:dLbls>
          <c:showLegendKey val="0"/>
          <c:showVal val="0"/>
          <c:showCatName val="0"/>
          <c:showSerName val="0"/>
          <c:showPercent val="0"/>
          <c:showBubbleSize val="0"/>
        </c:dLbls>
        <c:marker val="1"/>
        <c:smooth val="0"/>
        <c:axId val="153928448"/>
        <c:axId val="153929984"/>
      </c:lineChart>
      <c:dateAx>
        <c:axId val="153928448"/>
        <c:scaling>
          <c:orientation val="minMax"/>
        </c:scaling>
        <c:delete val="0"/>
        <c:axPos val="b"/>
        <c:numFmt formatCode="[$-41F]mmmm\ yy;@" sourceLinked="0"/>
        <c:majorTickMark val="out"/>
        <c:minorTickMark val="none"/>
        <c:tickLblPos val="high"/>
        <c:spPr>
          <a:ln w="19050">
            <a:solidFill>
              <a:sysClr val="windowText" lastClr="000000"/>
            </a:solidFill>
          </a:ln>
        </c:spPr>
        <c:txPr>
          <a:bodyPr rot="-2700000" anchor="ctr" anchorCtr="1"/>
          <a:lstStyle/>
          <a:p>
            <a:pPr>
              <a:defRPr b="1" i="0" baseline="0"/>
            </a:pPr>
            <a:endParaRPr lang="tr-TR"/>
          </a:p>
        </c:txPr>
        <c:crossAx val="153929984"/>
        <c:crosses val="autoZero"/>
        <c:auto val="1"/>
        <c:lblOffset val="100"/>
        <c:baseTimeUnit val="months"/>
      </c:dateAx>
      <c:valAx>
        <c:axId val="153929984"/>
        <c:scaling>
          <c:orientation val="minMax"/>
        </c:scaling>
        <c:delete val="0"/>
        <c:axPos val="l"/>
        <c:majorGridlines>
          <c:spPr>
            <a:ln w="3175">
              <a:prstDash val="dash"/>
            </a:ln>
          </c:spPr>
        </c:majorGridlines>
        <c:numFmt formatCode="0.0" sourceLinked="1"/>
        <c:majorTickMark val="out"/>
        <c:minorTickMark val="none"/>
        <c:tickLblPos val="nextTo"/>
        <c:spPr>
          <a:ln w="19050">
            <a:solidFill>
              <a:sysClr val="windowText" lastClr="000000"/>
            </a:solidFill>
          </a:ln>
        </c:spPr>
        <c:txPr>
          <a:bodyPr/>
          <a:lstStyle/>
          <a:p>
            <a:pPr>
              <a:defRPr b="1" i="0" baseline="0"/>
            </a:pPr>
            <a:endParaRPr lang="tr-TR"/>
          </a:p>
        </c:txPr>
        <c:crossAx val="153928448"/>
        <c:crosses val="autoZero"/>
        <c:crossBetween val="between"/>
      </c:valAx>
    </c:plotArea>
    <c:legend>
      <c:legendPos val="b"/>
      <c:layout>
        <c:manualLayout>
          <c:xMode val="edge"/>
          <c:yMode val="edge"/>
          <c:x val="5.5824715899583724E-3"/>
          <c:y val="0.8963273340832395"/>
          <c:w val="0.98597229991059854"/>
          <c:h val="8.6109111361079863E-2"/>
        </c:manualLayout>
      </c:layout>
      <c:overlay val="0"/>
      <c:txPr>
        <a:bodyPr/>
        <a:lstStyle/>
        <a:p>
          <a:pPr>
            <a:defRPr sz="1000" b="1"/>
          </a:pPr>
          <a:endParaRPr lang="tr-TR"/>
        </a:p>
      </c:txPr>
    </c:legend>
    <c:plotVisOnly val="1"/>
    <c:dispBlanksAs val="gap"/>
    <c:showDLblsOverMax val="0"/>
  </c:chart>
  <c:spPr>
    <a:ln w="12700">
      <a:solidFill>
        <a:sysClr val="windowText" lastClr="00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Konya Dış Ticareti-Yıllara Göre İlk 9 Ay (Milyon $)</a:t>
            </a:r>
            <a:endParaRPr lang="tr-TR">
              <a:effectLst/>
            </a:endParaRPr>
          </a:p>
        </c:rich>
      </c:tx>
      <c:overlay val="0"/>
    </c:title>
    <c:autoTitleDeleted val="0"/>
    <c:plotArea>
      <c:layout/>
      <c:lineChart>
        <c:grouping val="standard"/>
        <c:varyColors val="0"/>
        <c:ser>
          <c:idx val="0"/>
          <c:order val="0"/>
          <c:tx>
            <c:strRef>
              <c:f>'Aylık Tablolar'!$AE$19</c:f>
              <c:strCache>
                <c:ptCount val="1"/>
                <c:pt idx="0">
                  <c:v>İhracat</c:v>
                </c:pt>
              </c:strCache>
            </c:strRef>
          </c:tx>
          <c:marker>
            <c:symbol val="none"/>
          </c:marker>
          <c:dLbls>
            <c:dLbl>
              <c:idx val="0"/>
              <c:layout>
                <c:manualLayout>
                  <c:x val="-5.2777777777777778E-2"/>
                  <c:y val="-3.7037037037037035E-2"/>
                </c:manualLayout>
              </c:layout>
              <c:showLegendKey val="0"/>
              <c:showVal val="1"/>
              <c:showCatName val="0"/>
              <c:showSerName val="0"/>
              <c:showPercent val="0"/>
              <c:showBubbleSize val="0"/>
            </c:dLbl>
            <c:dLbl>
              <c:idx val="1"/>
              <c:layout>
                <c:manualLayout>
                  <c:x val="-6.3888888888888884E-2"/>
                  <c:y val="-6.0185185185185182E-2"/>
                </c:manualLayout>
              </c:layout>
              <c:showLegendKey val="0"/>
              <c:showVal val="1"/>
              <c:showCatName val="0"/>
              <c:showSerName val="0"/>
              <c:showPercent val="0"/>
              <c:showBubbleSize val="0"/>
            </c:dLbl>
            <c:dLbl>
              <c:idx val="2"/>
              <c:layout>
                <c:manualLayout>
                  <c:x val="-6.9444444444444448E-2"/>
                  <c:y val="-6.4814814814814811E-2"/>
                </c:manualLayout>
              </c:layout>
              <c:showLegendKey val="0"/>
              <c:showVal val="1"/>
              <c:showCatName val="0"/>
              <c:showSerName val="0"/>
              <c:showPercent val="0"/>
              <c:showBubbleSize val="0"/>
            </c:dLbl>
            <c:dLbl>
              <c:idx val="3"/>
              <c:layout>
                <c:manualLayout>
                  <c:x val="-5.2777777777777778E-2"/>
                  <c:y val="-4.6296296296296294E-2"/>
                </c:manualLayout>
              </c:layout>
              <c:showLegendKey val="0"/>
              <c:showVal val="1"/>
              <c:showCatName val="0"/>
              <c:showSerName val="0"/>
              <c:showPercent val="0"/>
              <c:showBubbleSize val="0"/>
            </c:dLbl>
            <c:dLbl>
              <c:idx val="4"/>
              <c:layout>
                <c:manualLayout>
                  <c:x val="-5.8333333333333334E-2"/>
                  <c:y val="-5.55555555555555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'Aylık Tablolar'!$AD$20:$AD$24</c:f>
              <c:numCache>
                <c:formatCode>0</c:formatCode>
                <c:ptCount val="5"/>
                <c:pt idx="0">
                  <c:v>2008</c:v>
                </c:pt>
                <c:pt idx="1">
                  <c:v>2009</c:v>
                </c:pt>
                <c:pt idx="2">
                  <c:v>2010</c:v>
                </c:pt>
                <c:pt idx="3">
                  <c:v>2011</c:v>
                </c:pt>
                <c:pt idx="4">
                  <c:v>2012</c:v>
                </c:pt>
              </c:numCache>
            </c:numRef>
          </c:cat>
          <c:val>
            <c:numRef>
              <c:f>'Aylık Tablolar'!$AE$20:$AE$24</c:f>
              <c:numCache>
                <c:formatCode>#,##0</c:formatCode>
                <c:ptCount val="5"/>
                <c:pt idx="0">
                  <c:v>691717</c:v>
                </c:pt>
                <c:pt idx="1">
                  <c:v>535353</c:v>
                </c:pt>
                <c:pt idx="2">
                  <c:v>727118</c:v>
                </c:pt>
                <c:pt idx="3">
                  <c:v>892634</c:v>
                </c:pt>
                <c:pt idx="4">
                  <c:v>969568</c:v>
                </c:pt>
              </c:numCache>
            </c:numRef>
          </c:val>
          <c:smooth val="0"/>
        </c:ser>
        <c:ser>
          <c:idx val="1"/>
          <c:order val="1"/>
          <c:tx>
            <c:strRef>
              <c:f>'Aylık Tablolar'!$AF$19</c:f>
              <c:strCache>
                <c:ptCount val="1"/>
                <c:pt idx="0">
                  <c:v>İthalat</c:v>
                </c:pt>
              </c:strCache>
            </c:strRef>
          </c:tx>
          <c:marker>
            <c:symbol val="none"/>
          </c:marker>
          <c:dLbls>
            <c:dLbl>
              <c:idx val="0"/>
              <c:layout>
                <c:manualLayout>
                  <c:x val="-6.1111111111111109E-2"/>
                  <c:y val="6.9444444444444448E-2"/>
                </c:manualLayout>
              </c:layout>
              <c:showLegendKey val="0"/>
              <c:showVal val="1"/>
              <c:showCatName val="0"/>
              <c:showSerName val="0"/>
              <c:showPercent val="0"/>
              <c:showBubbleSize val="0"/>
            </c:dLbl>
            <c:dLbl>
              <c:idx val="1"/>
              <c:layout>
                <c:manualLayout>
                  <c:x val="-6.6666666666666666E-2"/>
                  <c:y val="3.2407407407407406E-2"/>
                </c:manualLayout>
              </c:layout>
              <c:showLegendKey val="0"/>
              <c:showVal val="1"/>
              <c:showCatName val="0"/>
              <c:showSerName val="0"/>
              <c:showPercent val="0"/>
              <c:showBubbleSize val="0"/>
            </c:dLbl>
            <c:dLbl>
              <c:idx val="2"/>
              <c:layout>
                <c:manualLayout>
                  <c:x val="-0.05"/>
                  <c:y val="5.5555555555555469E-2"/>
                </c:manualLayout>
              </c:layout>
              <c:showLegendKey val="0"/>
              <c:showVal val="1"/>
              <c:showCatName val="0"/>
              <c:showSerName val="0"/>
              <c:showPercent val="0"/>
              <c:showBubbleSize val="0"/>
            </c:dLbl>
            <c:dLbl>
              <c:idx val="3"/>
              <c:layout>
                <c:manualLayout>
                  <c:x val="-0.05"/>
                  <c:y val="5.5555555555555552E-2"/>
                </c:manualLayout>
              </c:layout>
              <c:showLegendKey val="0"/>
              <c:showVal val="1"/>
              <c:showCatName val="0"/>
              <c:showSerName val="0"/>
              <c:showPercent val="0"/>
              <c:showBubbleSize val="0"/>
            </c:dLbl>
            <c:dLbl>
              <c:idx val="4"/>
              <c:layout>
                <c:manualLayout>
                  <c:x val="-3.6111111111111108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'Aylık Tablolar'!$AD$20:$AD$24</c:f>
              <c:numCache>
                <c:formatCode>0</c:formatCode>
                <c:ptCount val="5"/>
                <c:pt idx="0">
                  <c:v>2008</c:v>
                </c:pt>
                <c:pt idx="1">
                  <c:v>2009</c:v>
                </c:pt>
                <c:pt idx="2">
                  <c:v>2010</c:v>
                </c:pt>
                <c:pt idx="3">
                  <c:v>2011</c:v>
                </c:pt>
                <c:pt idx="4">
                  <c:v>2012</c:v>
                </c:pt>
              </c:numCache>
            </c:numRef>
          </c:cat>
          <c:val>
            <c:numRef>
              <c:f>'Aylık Tablolar'!$AF$20:$AF$24</c:f>
              <c:numCache>
                <c:formatCode>#,##0</c:formatCode>
                <c:ptCount val="5"/>
                <c:pt idx="0">
                  <c:v>628633</c:v>
                </c:pt>
                <c:pt idx="1">
                  <c:v>418358</c:v>
                </c:pt>
                <c:pt idx="2">
                  <c:v>563908</c:v>
                </c:pt>
                <c:pt idx="3">
                  <c:v>877431</c:v>
                </c:pt>
                <c:pt idx="4">
                  <c:v>879778</c:v>
                </c:pt>
              </c:numCache>
            </c:numRef>
          </c:val>
          <c:smooth val="0"/>
        </c:ser>
        <c:dLbls>
          <c:showLegendKey val="0"/>
          <c:showVal val="0"/>
          <c:showCatName val="0"/>
          <c:showSerName val="0"/>
          <c:showPercent val="0"/>
          <c:showBubbleSize val="0"/>
        </c:dLbls>
        <c:marker val="1"/>
        <c:smooth val="0"/>
        <c:axId val="156115328"/>
        <c:axId val="156116864"/>
      </c:lineChart>
      <c:catAx>
        <c:axId val="156115328"/>
        <c:scaling>
          <c:orientation val="minMax"/>
        </c:scaling>
        <c:delete val="0"/>
        <c:axPos val="b"/>
        <c:numFmt formatCode="0" sourceLinked="1"/>
        <c:majorTickMark val="none"/>
        <c:minorTickMark val="none"/>
        <c:tickLblPos val="nextTo"/>
        <c:crossAx val="156116864"/>
        <c:crosses val="autoZero"/>
        <c:auto val="1"/>
        <c:lblAlgn val="ctr"/>
        <c:lblOffset val="100"/>
        <c:noMultiLvlLbl val="0"/>
      </c:catAx>
      <c:valAx>
        <c:axId val="156116864"/>
        <c:scaling>
          <c:orientation val="minMax"/>
        </c:scaling>
        <c:delete val="0"/>
        <c:axPos val="l"/>
        <c:numFmt formatCode="#,##0" sourceLinked="1"/>
        <c:majorTickMark val="none"/>
        <c:minorTickMark val="none"/>
        <c:tickLblPos val="nextTo"/>
        <c:crossAx val="156115328"/>
        <c:crosses val="autoZero"/>
        <c:crossBetween val="between"/>
      </c:valAx>
      <c:spPr>
        <a:ln>
          <a:solidFill>
            <a:schemeClr val="accent1"/>
          </a:solidFill>
        </a:ln>
      </c:spPr>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Ülkelere Göre Konya İhracatı </a:t>
            </a:r>
          </a:p>
          <a:p>
            <a:pPr>
              <a:defRPr/>
            </a:pPr>
            <a:r>
              <a:rPr lang="tr-TR" sz="1800" b="1" i="0" baseline="0">
                <a:effectLst/>
              </a:rPr>
              <a:t>(İlk 10 Ülke/Ocak-Eylül)</a:t>
            </a:r>
            <a:endParaRPr lang="tr-TR">
              <a:effectLst/>
            </a:endParaRPr>
          </a:p>
        </c:rich>
      </c:tx>
      <c:overlay val="0"/>
    </c:title>
    <c:autoTitleDeleted val="0"/>
    <c:plotArea>
      <c:layout>
        <c:manualLayout>
          <c:layoutTarget val="inner"/>
          <c:xMode val="edge"/>
          <c:yMode val="edge"/>
          <c:x val="0.10262425727589738"/>
          <c:y val="0.25179221198032842"/>
          <c:w val="0.77675544111488437"/>
          <c:h val="0.33535280786147464"/>
        </c:manualLayout>
      </c:layout>
      <c:barChart>
        <c:barDir val="col"/>
        <c:grouping val="clustered"/>
        <c:varyColors val="0"/>
        <c:ser>
          <c:idx val="0"/>
          <c:order val="0"/>
          <c:tx>
            <c:strRef>
              <c:f>Sayfa3!$I$3</c:f>
              <c:strCache>
                <c:ptCount val="1"/>
                <c:pt idx="0">
                  <c:v>2011</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Sayfa3!$H$4:$H$13</c:f>
              <c:strCache>
                <c:ptCount val="10"/>
                <c:pt idx="0">
                  <c:v>IRAK</c:v>
                </c:pt>
                <c:pt idx="1">
                  <c:v>ALMANYA </c:v>
                </c:pt>
                <c:pt idx="2">
                  <c:v>İRAN (İSLAM CUM.)</c:v>
                </c:pt>
                <c:pt idx="3">
                  <c:v>İTALYA</c:v>
                </c:pt>
                <c:pt idx="4">
                  <c:v>RUSYA FEDERASYONU </c:v>
                </c:pt>
                <c:pt idx="5">
                  <c:v>BULGARİSTAN</c:v>
                </c:pt>
                <c:pt idx="6">
                  <c:v>SUUDI ARABISTAN </c:v>
                </c:pt>
                <c:pt idx="7">
                  <c:v>LİBYA</c:v>
                </c:pt>
                <c:pt idx="8">
                  <c:v>BİRLEŞİK DEVLETLER</c:v>
                </c:pt>
                <c:pt idx="9">
                  <c:v>MISIR </c:v>
                </c:pt>
              </c:strCache>
            </c:strRef>
          </c:cat>
          <c:val>
            <c:numRef>
              <c:f>Sayfa3!$I$4:$I$13</c:f>
              <c:numCache>
                <c:formatCode>#,##0</c:formatCode>
                <c:ptCount val="10"/>
                <c:pt idx="0">
                  <c:v>103267</c:v>
                </c:pt>
                <c:pt idx="1">
                  <c:v>49335</c:v>
                </c:pt>
                <c:pt idx="2">
                  <c:v>58778</c:v>
                </c:pt>
                <c:pt idx="3">
                  <c:v>71138</c:v>
                </c:pt>
                <c:pt idx="4">
                  <c:v>23083</c:v>
                </c:pt>
                <c:pt idx="5">
                  <c:v>30329</c:v>
                </c:pt>
                <c:pt idx="6">
                  <c:v>21360</c:v>
                </c:pt>
                <c:pt idx="7">
                  <c:v>51345</c:v>
                </c:pt>
                <c:pt idx="8">
                  <c:v>21774</c:v>
                </c:pt>
                <c:pt idx="9">
                  <c:v>19529</c:v>
                </c:pt>
              </c:numCache>
            </c:numRef>
          </c:val>
        </c:ser>
        <c:ser>
          <c:idx val="1"/>
          <c:order val="1"/>
          <c:tx>
            <c:strRef>
              <c:f>Sayfa3!$J$3</c:f>
              <c:strCache>
                <c:ptCount val="1"/>
                <c:pt idx="0">
                  <c:v>2012</c:v>
                </c:pt>
              </c:strCache>
            </c:strRef>
          </c:tx>
          <c:invertIfNegative val="0"/>
          <c:dLbls>
            <c:txPr>
              <a:bodyPr rot="-5400000" vert="horz"/>
              <a:lstStyle/>
              <a:p>
                <a:pPr>
                  <a:defRPr sz="800"/>
                </a:pPr>
                <a:endParaRPr lang="tr-TR"/>
              </a:p>
            </c:txPr>
            <c:showLegendKey val="0"/>
            <c:showVal val="1"/>
            <c:showCatName val="0"/>
            <c:showSerName val="0"/>
            <c:showPercent val="0"/>
            <c:showBubbleSize val="0"/>
            <c:showLeaderLines val="0"/>
          </c:dLbls>
          <c:cat>
            <c:strRef>
              <c:f>Sayfa3!$H$4:$H$13</c:f>
              <c:strCache>
                <c:ptCount val="10"/>
                <c:pt idx="0">
                  <c:v>IRAK</c:v>
                </c:pt>
                <c:pt idx="1">
                  <c:v>ALMANYA </c:v>
                </c:pt>
                <c:pt idx="2">
                  <c:v>İRAN (İSLAM CUM.)</c:v>
                </c:pt>
                <c:pt idx="3">
                  <c:v>İTALYA</c:v>
                </c:pt>
                <c:pt idx="4">
                  <c:v>RUSYA FEDERASYONU </c:v>
                </c:pt>
                <c:pt idx="5">
                  <c:v>BULGARİSTAN</c:v>
                </c:pt>
                <c:pt idx="6">
                  <c:v>SUUDI ARABISTAN </c:v>
                </c:pt>
                <c:pt idx="7">
                  <c:v>LİBYA</c:v>
                </c:pt>
                <c:pt idx="8">
                  <c:v>BİRLEŞİK DEVLETLER</c:v>
                </c:pt>
                <c:pt idx="9">
                  <c:v>MISIR </c:v>
                </c:pt>
              </c:strCache>
            </c:strRef>
          </c:cat>
          <c:val>
            <c:numRef>
              <c:f>Sayfa3!$J$4:$J$13</c:f>
              <c:numCache>
                <c:formatCode>#,##0</c:formatCode>
                <c:ptCount val="10"/>
                <c:pt idx="0">
                  <c:v>180410</c:v>
                </c:pt>
                <c:pt idx="1">
                  <c:v>59109</c:v>
                </c:pt>
                <c:pt idx="2">
                  <c:v>41150</c:v>
                </c:pt>
                <c:pt idx="3">
                  <c:v>37409</c:v>
                </c:pt>
                <c:pt idx="4">
                  <c:v>35436</c:v>
                </c:pt>
                <c:pt idx="5">
                  <c:v>35361</c:v>
                </c:pt>
                <c:pt idx="6">
                  <c:v>34818</c:v>
                </c:pt>
                <c:pt idx="7">
                  <c:v>31709</c:v>
                </c:pt>
                <c:pt idx="8">
                  <c:v>30848</c:v>
                </c:pt>
                <c:pt idx="9">
                  <c:v>28975</c:v>
                </c:pt>
              </c:numCache>
            </c:numRef>
          </c:val>
        </c:ser>
        <c:dLbls>
          <c:showLegendKey val="0"/>
          <c:showVal val="0"/>
          <c:showCatName val="0"/>
          <c:showSerName val="0"/>
          <c:showPercent val="0"/>
          <c:showBubbleSize val="0"/>
        </c:dLbls>
        <c:gapWidth val="150"/>
        <c:axId val="156142976"/>
        <c:axId val="156152960"/>
      </c:barChart>
      <c:catAx>
        <c:axId val="156142976"/>
        <c:scaling>
          <c:orientation val="minMax"/>
        </c:scaling>
        <c:delete val="0"/>
        <c:axPos val="b"/>
        <c:majorTickMark val="none"/>
        <c:minorTickMark val="none"/>
        <c:tickLblPos val="nextTo"/>
        <c:crossAx val="156152960"/>
        <c:crosses val="autoZero"/>
        <c:auto val="1"/>
        <c:lblAlgn val="ctr"/>
        <c:lblOffset val="100"/>
        <c:noMultiLvlLbl val="0"/>
      </c:catAx>
      <c:valAx>
        <c:axId val="156152960"/>
        <c:scaling>
          <c:orientation val="minMax"/>
        </c:scaling>
        <c:delete val="0"/>
        <c:axPos val="l"/>
        <c:numFmt formatCode="#,##0" sourceLinked="1"/>
        <c:majorTickMark val="none"/>
        <c:minorTickMark val="none"/>
        <c:tickLblPos val="nextTo"/>
        <c:crossAx val="156142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91261133342194E-2"/>
          <c:y val="0.27893175074183979"/>
          <c:w val="0.8548463682476849"/>
          <c:h val="0.55029857843332464"/>
        </c:manualLayout>
      </c:layout>
      <c:lineChart>
        <c:grouping val="standard"/>
        <c:varyColors val="0"/>
        <c:ser>
          <c:idx val="1"/>
          <c:order val="0"/>
          <c:tx>
            <c:strRef>
              <c:f>'Soru 4'!$B$2</c:f>
              <c:strCache>
                <c:ptCount val="1"/>
                <c:pt idx="0">
                  <c:v>  KOPE (Konya)</c:v>
                </c:pt>
              </c:strCache>
            </c:strRef>
          </c:tx>
          <c:spPr>
            <a:ln w="44450">
              <a:solidFill>
                <a:srgbClr val="92D050"/>
              </a:solidFill>
            </a:ln>
          </c:spPr>
          <c:marker>
            <c:symbol val="none"/>
          </c:marker>
          <c:cat>
            <c:numRef>
              <c:f>'Soru 4'!$C$1:$K$1</c:f>
              <c:numCache>
                <c:formatCode>[$-41F]mmmm\ yy;@</c:formatCode>
                <c:ptCount val="9"/>
                <c:pt idx="0">
                  <c:v>40940</c:v>
                </c:pt>
                <c:pt idx="1">
                  <c:v>40969</c:v>
                </c:pt>
                <c:pt idx="2">
                  <c:v>41000</c:v>
                </c:pt>
                <c:pt idx="3">
                  <c:v>41030</c:v>
                </c:pt>
                <c:pt idx="4">
                  <c:v>41061</c:v>
                </c:pt>
                <c:pt idx="5">
                  <c:v>41091</c:v>
                </c:pt>
                <c:pt idx="6">
                  <c:v>41122</c:v>
                </c:pt>
                <c:pt idx="7">
                  <c:v>41153</c:v>
                </c:pt>
                <c:pt idx="8">
                  <c:v>41183</c:v>
                </c:pt>
              </c:numCache>
            </c:numRef>
          </c:cat>
          <c:val>
            <c:numRef>
              <c:f>'Soru 4'!$C$2:$K$2</c:f>
              <c:numCache>
                <c:formatCode>0.0</c:formatCode>
                <c:ptCount val="9"/>
                <c:pt idx="0">
                  <c:v>38.333330000000011</c:v>
                </c:pt>
                <c:pt idx="1">
                  <c:v>48.333330000000011</c:v>
                </c:pt>
                <c:pt idx="2">
                  <c:v>40.666670000000003</c:v>
                </c:pt>
                <c:pt idx="3">
                  <c:v>20.999999999999993</c:v>
                </c:pt>
                <c:pt idx="4">
                  <c:v>6</c:v>
                </c:pt>
                <c:pt idx="5">
                  <c:v>7.3333299999999975</c:v>
                </c:pt>
                <c:pt idx="6">
                  <c:v>21.66667</c:v>
                </c:pt>
                <c:pt idx="7">
                  <c:v>4.3333400000000077</c:v>
                </c:pt>
                <c:pt idx="8">
                  <c:v>-3.3333299999999966</c:v>
                </c:pt>
              </c:numCache>
            </c:numRef>
          </c:val>
          <c:smooth val="0"/>
        </c:ser>
        <c:ser>
          <c:idx val="0"/>
          <c:order val="1"/>
          <c:tx>
            <c:strRef>
              <c:f>'Soru 4'!$B$3</c:f>
              <c:strCache>
                <c:ptCount val="1"/>
                <c:pt idx="0">
                  <c:v>  TEPE (Türkiye)</c:v>
                </c:pt>
              </c:strCache>
            </c:strRef>
          </c:tx>
          <c:spPr>
            <a:ln w="44450">
              <a:solidFill>
                <a:srgbClr val="FF0000"/>
              </a:solidFill>
            </a:ln>
          </c:spPr>
          <c:marker>
            <c:symbol val="none"/>
          </c:marker>
          <c:cat>
            <c:numRef>
              <c:f>'Soru 4'!$C$1:$K$1</c:f>
              <c:numCache>
                <c:formatCode>[$-41F]mmmm\ yy;@</c:formatCode>
                <c:ptCount val="9"/>
                <c:pt idx="0">
                  <c:v>40940</c:v>
                </c:pt>
                <c:pt idx="1">
                  <c:v>40969</c:v>
                </c:pt>
                <c:pt idx="2">
                  <c:v>41000</c:v>
                </c:pt>
                <c:pt idx="3">
                  <c:v>41030</c:v>
                </c:pt>
                <c:pt idx="4">
                  <c:v>41061</c:v>
                </c:pt>
                <c:pt idx="5">
                  <c:v>41091</c:v>
                </c:pt>
                <c:pt idx="6">
                  <c:v>41122</c:v>
                </c:pt>
                <c:pt idx="7">
                  <c:v>41153</c:v>
                </c:pt>
                <c:pt idx="8">
                  <c:v>41183</c:v>
                </c:pt>
              </c:numCache>
            </c:numRef>
          </c:cat>
          <c:val>
            <c:numRef>
              <c:f>'Soru 4'!$C$3:$K$3</c:f>
              <c:numCache>
                <c:formatCode>0.0</c:formatCode>
                <c:ptCount val="9"/>
                <c:pt idx="0">
                  <c:v>22.690929999999994</c:v>
                </c:pt>
                <c:pt idx="1">
                  <c:v>29.937969999999996</c:v>
                </c:pt>
                <c:pt idx="2">
                  <c:v>24.92127</c:v>
                </c:pt>
                <c:pt idx="3">
                  <c:v>5.3194400000000002</c:v>
                </c:pt>
                <c:pt idx="4">
                  <c:v>-1.937890000000003</c:v>
                </c:pt>
                <c:pt idx="5">
                  <c:v>6.7843800000000059</c:v>
                </c:pt>
                <c:pt idx="6">
                  <c:v>16.922029999999992</c:v>
                </c:pt>
                <c:pt idx="7">
                  <c:v>17.860549999999986</c:v>
                </c:pt>
                <c:pt idx="8">
                  <c:v>9.3184800000000028</c:v>
                </c:pt>
              </c:numCache>
            </c:numRef>
          </c:val>
          <c:smooth val="0"/>
        </c:ser>
        <c:dLbls>
          <c:showLegendKey val="0"/>
          <c:showVal val="0"/>
          <c:showCatName val="0"/>
          <c:showSerName val="0"/>
          <c:showPercent val="0"/>
          <c:showBubbleSize val="0"/>
        </c:dLbls>
        <c:marker val="1"/>
        <c:smooth val="0"/>
        <c:axId val="153938944"/>
        <c:axId val="155529984"/>
      </c:lineChart>
      <c:dateAx>
        <c:axId val="153938944"/>
        <c:scaling>
          <c:orientation val="minMax"/>
        </c:scaling>
        <c:delete val="0"/>
        <c:axPos val="b"/>
        <c:numFmt formatCode="[$-41F]mmmm\ yy;@" sourceLinked="0"/>
        <c:majorTickMark val="out"/>
        <c:minorTickMark val="none"/>
        <c:tickLblPos val="high"/>
        <c:spPr>
          <a:ln w="19050">
            <a:solidFill>
              <a:sysClr val="windowText" lastClr="000000"/>
            </a:solidFill>
          </a:ln>
        </c:spPr>
        <c:txPr>
          <a:bodyPr rot="-2700000" anchor="ctr" anchorCtr="1"/>
          <a:lstStyle/>
          <a:p>
            <a:pPr>
              <a:defRPr b="1" i="0" baseline="0"/>
            </a:pPr>
            <a:endParaRPr lang="tr-TR"/>
          </a:p>
        </c:txPr>
        <c:crossAx val="155529984"/>
        <c:crosses val="autoZero"/>
        <c:auto val="1"/>
        <c:lblOffset val="100"/>
        <c:baseTimeUnit val="months"/>
      </c:dateAx>
      <c:valAx>
        <c:axId val="155529984"/>
        <c:scaling>
          <c:orientation val="minMax"/>
        </c:scaling>
        <c:delete val="0"/>
        <c:axPos val="l"/>
        <c:majorGridlines>
          <c:spPr>
            <a:ln w="3175">
              <a:prstDash val="dash"/>
            </a:ln>
          </c:spPr>
        </c:majorGridlines>
        <c:numFmt formatCode="0.0" sourceLinked="1"/>
        <c:majorTickMark val="out"/>
        <c:minorTickMark val="none"/>
        <c:tickLblPos val="nextTo"/>
        <c:spPr>
          <a:ln w="19050">
            <a:solidFill>
              <a:sysClr val="windowText" lastClr="000000"/>
            </a:solidFill>
          </a:ln>
        </c:spPr>
        <c:txPr>
          <a:bodyPr/>
          <a:lstStyle/>
          <a:p>
            <a:pPr>
              <a:defRPr b="1" i="0" baseline="0"/>
            </a:pPr>
            <a:endParaRPr lang="tr-TR"/>
          </a:p>
        </c:txPr>
        <c:crossAx val="153938944"/>
        <c:crosses val="autoZero"/>
        <c:crossBetween val="between"/>
      </c:valAx>
    </c:plotArea>
    <c:legend>
      <c:legendPos val="b"/>
      <c:layout>
        <c:manualLayout>
          <c:xMode val="edge"/>
          <c:yMode val="edge"/>
          <c:x val="5.5824715899583724E-3"/>
          <c:y val="0.8963273340832395"/>
          <c:w val="0.98597229991059854"/>
          <c:h val="8.6109111361079863E-2"/>
        </c:manualLayout>
      </c:layout>
      <c:overlay val="0"/>
      <c:txPr>
        <a:bodyPr/>
        <a:lstStyle/>
        <a:p>
          <a:pPr>
            <a:defRPr sz="1000" b="1"/>
          </a:pPr>
          <a:endParaRPr lang="tr-TR"/>
        </a:p>
      </c:txPr>
    </c:legend>
    <c:plotVisOnly val="1"/>
    <c:dispBlanksAs val="gap"/>
    <c:showDLblsOverMax val="0"/>
  </c:chart>
  <c:spPr>
    <a:ln w="12700">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91261133342194E-2"/>
          <c:y val="0.27893175074183979"/>
          <c:w val="0.8548463682476849"/>
          <c:h val="0.55029857843332464"/>
        </c:manualLayout>
      </c:layout>
      <c:lineChart>
        <c:grouping val="standard"/>
        <c:varyColors val="0"/>
        <c:ser>
          <c:idx val="1"/>
          <c:order val="0"/>
          <c:tx>
            <c:strRef>
              <c:f>'Soru 7'!$B$2</c:f>
              <c:strCache>
                <c:ptCount val="1"/>
                <c:pt idx="0">
                  <c:v>  KOPE (Konya)</c:v>
                </c:pt>
              </c:strCache>
            </c:strRef>
          </c:tx>
          <c:spPr>
            <a:ln w="44450">
              <a:solidFill>
                <a:srgbClr val="92D050"/>
              </a:solidFill>
            </a:ln>
          </c:spPr>
          <c:marker>
            <c:symbol val="none"/>
          </c:marker>
          <c:cat>
            <c:numRef>
              <c:f>'Soru 7'!$C$1:$K$1</c:f>
              <c:numCache>
                <c:formatCode>[$-41F]mmmm\ yy;@</c:formatCode>
                <c:ptCount val="9"/>
                <c:pt idx="0">
                  <c:v>40940</c:v>
                </c:pt>
                <c:pt idx="1">
                  <c:v>40969</c:v>
                </c:pt>
                <c:pt idx="2">
                  <c:v>41000</c:v>
                </c:pt>
                <c:pt idx="3">
                  <c:v>41030</c:v>
                </c:pt>
                <c:pt idx="4">
                  <c:v>41061</c:v>
                </c:pt>
                <c:pt idx="5">
                  <c:v>41091</c:v>
                </c:pt>
                <c:pt idx="6">
                  <c:v>41122</c:v>
                </c:pt>
                <c:pt idx="7">
                  <c:v>41153</c:v>
                </c:pt>
                <c:pt idx="8">
                  <c:v>41183</c:v>
                </c:pt>
              </c:numCache>
            </c:numRef>
          </c:cat>
          <c:val>
            <c:numRef>
              <c:f>'Soru 7'!$C$2:$K$2</c:f>
              <c:numCache>
                <c:formatCode>0.0</c:formatCode>
                <c:ptCount val="9"/>
                <c:pt idx="0">
                  <c:v>-19.66667</c:v>
                </c:pt>
                <c:pt idx="1">
                  <c:v>-25.333340000000003</c:v>
                </c:pt>
                <c:pt idx="2">
                  <c:v>-23.666659999999993</c:v>
                </c:pt>
                <c:pt idx="3">
                  <c:v>-22.333329999999993</c:v>
                </c:pt>
                <c:pt idx="4">
                  <c:v>-35</c:v>
                </c:pt>
                <c:pt idx="5">
                  <c:v>-37.666670000000003</c:v>
                </c:pt>
                <c:pt idx="6">
                  <c:v>-22.333329999999993</c:v>
                </c:pt>
                <c:pt idx="7">
                  <c:v>-34.333330000000011</c:v>
                </c:pt>
                <c:pt idx="8">
                  <c:v>-30.000000000000004</c:v>
                </c:pt>
              </c:numCache>
            </c:numRef>
          </c:val>
          <c:smooth val="0"/>
        </c:ser>
        <c:ser>
          <c:idx val="0"/>
          <c:order val="1"/>
          <c:tx>
            <c:strRef>
              <c:f>'Soru 7'!$B$3</c:f>
              <c:strCache>
                <c:ptCount val="1"/>
                <c:pt idx="0">
                  <c:v>  TEPE (Türkiye)</c:v>
                </c:pt>
              </c:strCache>
            </c:strRef>
          </c:tx>
          <c:spPr>
            <a:ln w="44450">
              <a:solidFill>
                <a:srgbClr val="FF0000"/>
              </a:solidFill>
            </a:ln>
          </c:spPr>
          <c:marker>
            <c:symbol val="none"/>
          </c:marker>
          <c:cat>
            <c:numRef>
              <c:f>'Soru 7'!$C$1:$K$1</c:f>
              <c:numCache>
                <c:formatCode>[$-41F]mmmm\ yy;@</c:formatCode>
                <c:ptCount val="9"/>
                <c:pt idx="0">
                  <c:v>40940</c:v>
                </c:pt>
                <c:pt idx="1">
                  <c:v>40969</c:v>
                </c:pt>
                <c:pt idx="2">
                  <c:v>41000</c:v>
                </c:pt>
                <c:pt idx="3">
                  <c:v>41030</c:v>
                </c:pt>
                <c:pt idx="4">
                  <c:v>41061</c:v>
                </c:pt>
                <c:pt idx="5">
                  <c:v>41091</c:v>
                </c:pt>
                <c:pt idx="6">
                  <c:v>41122</c:v>
                </c:pt>
                <c:pt idx="7">
                  <c:v>41153</c:v>
                </c:pt>
                <c:pt idx="8">
                  <c:v>41183</c:v>
                </c:pt>
              </c:numCache>
            </c:numRef>
          </c:cat>
          <c:val>
            <c:numRef>
              <c:f>'Soru 7'!$C$3:$K$3</c:f>
              <c:numCache>
                <c:formatCode>0.0</c:formatCode>
                <c:ptCount val="9"/>
                <c:pt idx="0">
                  <c:v>-36.594190000000012</c:v>
                </c:pt>
                <c:pt idx="1">
                  <c:v>-32.692220000000013</c:v>
                </c:pt>
                <c:pt idx="2">
                  <c:v>-27.439330000000002</c:v>
                </c:pt>
                <c:pt idx="3">
                  <c:v>-30.326519999999995</c:v>
                </c:pt>
                <c:pt idx="4">
                  <c:v>-29.39575</c:v>
                </c:pt>
                <c:pt idx="5">
                  <c:v>-27.595069999999993</c:v>
                </c:pt>
                <c:pt idx="6">
                  <c:v>-31.638879999999997</c:v>
                </c:pt>
                <c:pt idx="7">
                  <c:v>-16.961570000000002</c:v>
                </c:pt>
                <c:pt idx="8">
                  <c:v>-24.158669999999994</c:v>
                </c:pt>
              </c:numCache>
            </c:numRef>
          </c:val>
          <c:smooth val="0"/>
        </c:ser>
        <c:dLbls>
          <c:showLegendKey val="0"/>
          <c:showVal val="0"/>
          <c:showCatName val="0"/>
          <c:showSerName val="0"/>
          <c:showPercent val="0"/>
          <c:showBubbleSize val="0"/>
        </c:dLbls>
        <c:marker val="1"/>
        <c:smooth val="0"/>
        <c:axId val="155546752"/>
        <c:axId val="155548288"/>
      </c:lineChart>
      <c:dateAx>
        <c:axId val="155546752"/>
        <c:scaling>
          <c:orientation val="minMax"/>
        </c:scaling>
        <c:delete val="0"/>
        <c:axPos val="b"/>
        <c:numFmt formatCode="[$-41F]mmmm\ yy;@" sourceLinked="0"/>
        <c:majorTickMark val="out"/>
        <c:minorTickMark val="none"/>
        <c:tickLblPos val="high"/>
        <c:spPr>
          <a:ln w="19050">
            <a:solidFill>
              <a:sysClr val="windowText" lastClr="000000"/>
            </a:solidFill>
          </a:ln>
        </c:spPr>
        <c:txPr>
          <a:bodyPr rot="-2700000" anchor="ctr" anchorCtr="1"/>
          <a:lstStyle/>
          <a:p>
            <a:pPr>
              <a:defRPr b="1" i="0" baseline="0"/>
            </a:pPr>
            <a:endParaRPr lang="tr-TR"/>
          </a:p>
        </c:txPr>
        <c:crossAx val="155548288"/>
        <c:crosses val="autoZero"/>
        <c:auto val="1"/>
        <c:lblOffset val="100"/>
        <c:baseTimeUnit val="months"/>
      </c:dateAx>
      <c:valAx>
        <c:axId val="155548288"/>
        <c:scaling>
          <c:orientation val="minMax"/>
        </c:scaling>
        <c:delete val="0"/>
        <c:axPos val="l"/>
        <c:majorGridlines>
          <c:spPr>
            <a:ln w="3175">
              <a:prstDash val="dash"/>
            </a:ln>
          </c:spPr>
        </c:majorGridlines>
        <c:numFmt formatCode="0.0" sourceLinked="1"/>
        <c:majorTickMark val="out"/>
        <c:minorTickMark val="none"/>
        <c:tickLblPos val="nextTo"/>
        <c:spPr>
          <a:ln w="19050">
            <a:solidFill>
              <a:sysClr val="windowText" lastClr="000000"/>
            </a:solidFill>
          </a:ln>
        </c:spPr>
        <c:txPr>
          <a:bodyPr/>
          <a:lstStyle/>
          <a:p>
            <a:pPr>
              <a:defRPr b="1" i="0" baseline="0"/>
            </a:pPr>
            <a:endParaRPr lang="tr-TR"/>
          </a:p>
        </c:txPr>
        <c:crossAx val="155546752"/>
        <c:crosses val="autoZero"/>
        <c:crossBetween val="between"/>
      </c:valAx>
    </c:plotArea>
    <c:legend>
      <c:legendPos val="b"/>
      <c:layout>
        <c:manualLayout>
          <c:xMode val="edge"/>
          <c:yMode val="edge"/>
          <c:x val="5.5824715899583724E-3"/>
          <c:y val="0.8963273340832395"/>
          <c:w val="0.98597229991059854"/>
          <c:h val="8.6109111361079863E-2"/>
        </c:manualLayout>
      </c:layout>
      <c:overlay val="0"/>
      <c:txPr>
        <a:bodyPr/>
        <a:lstStyle/>
        <a:p>
          <a:pPr>
            <a:defRPr sz="1000" b="1"/>
          </a:pPr>
          <a:endParaRPr lang="tr-TR"/>
        </a:p>
      </c:txPr>
    </c:legend>
    <c:plotVisOnly val="1"/>
    <c:dispBlanksAs val="gap"/>
    <c:showDLblsOverMax val="0"/>
  </c:chart>
  <c:spPr>
    <a:ln w="12700">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60251E-2"/>
          <c:w val="0.89076087711259255"/>
          <c:h val="0.6480878518947677"/>
        </c:manualLayout>
      </c:layout>
      <c:lineChart>
        <c:grouping val="standard"/>
        <c:varyColors val="0"/>
        <c:ser>
          <c:idx val="0"/>
          <c:order val="0"/>
          <c:tx>
            <c:strRef>
              <c:f>'[Konya İstihdam.xlsx]4a_Sigortalı Ücretli'!$E$1</c:f>
              <c:strCache>
                <c:ptCount val="1"/>
                <c:pt idx="0">
                  <c:v> Türkiye Endeks</c:v>
                </c:pt>
              </c:strCache>
            </c:strRef>
          </c:tx>
          <c:marker>
            <c:symbol val="none"/>
          </c:marker>
          <c:dLbls>
            <c:dLbl>
              <c:idx val="45"/>
              <c:layout>
                <c:manualLayout>
                  <c:x val="0"/>
                  <c:y val="4.0133779264214062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İstihdam.xlsx]4a_Sigortalı Ücretli'!$A$2:$A$47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İstihdam.xlsx]4a_Sigortalı Ücretli'!$E$2:$E$47</c:f>
              <c:numCache>
                <c:formatCode>0.0</c:formatCode>
                <c:ptCount val="46"/>
                <c:pt idx="0">
                  <c:v>100</c:v>
                </c:pt>
                <c:pt idx="1">
                  <c:v>100.00279434601568</c:v>
                </c:pt>
                <c:pt idx="2">
                  <c:v>99.566376565841878</c:v>
                </c:pt>
                <c:pt idx="3">
                  <c:v>99.407485053372596</c:v>
                </c:pt>
                <c:pt idx="4">
                  <c:v>99.281591813974643</c:v>
                </c:pt>
                <c:pt idx="5">
                  <c:v>99.127970937892655</c:v>
                </c:pt>
                <c:pt idx="6">
                  <c:v>99.146781657412959</c:v>
                </c:pt>
                <c:pt idx="7">
                  <c:v>99.213482469624779</c:v>
                </c:pt>
                <c:pt idx="8">
                  <c:v>99.747634205566897</c:v>
                </c:pt>
                <c:pt idx="9">
                  <c:v>99.801817256358859</c:v>
                </c:pt>
                <c:pt idx="10">
                  <c:v>100.29835891239048</c:v>
                </c:pt>
                <c:pt idx="11">
                  <c:v>100.65170737381334</c:v>
                </c:pt>
                <c:pt idx="12">
                  <c:v>101.34913524646075</c:v>
                </c:pt>
                <c:pt idx="13">
                  <c:v>101.89882627244118</c:v>
                </c:pt>
                <c:pt idx="14">
                  <c:v>102.9726389224456</c:v>
                </c:pt>
                <c:pt idx="15">
                  <c:v>103.73420044389218</c:v>
                </c:pt>
                <c:pt idx="16">
                  <c:v>104.78066030850719</c:v>
                </c:pt>
                <c:pt idx="17">
                  <c:v>105.84261402664012</c:v>
                </c:pt>
                <c:pt idx="18">
                  <c:v>106.8410020524811</c:v>
                </c:pt>
                <c:pt idx="19">
                  <c:v>107.98816060583248</c:v>
                </c:pt>
                <c:pt idx="20">
                  <c:v>108.40532466041034</c:v>
                </c:pt>
                <c:pt idx="21">
                  <c:v>109.94689493065877</c:v>
                </c:pt>
                <c:pt idx="22">
                  <c:v>111.10099391252849</c:v>
                </c:pt>
                <c:pt idx="23">
                  <c:v>111.95995997496902</c:v>
                </c:pt>
                <c:pt idx="24">
                  <c:v>112.94261560555927</c:v>
                </c:pt>
                <c:pt idx="25">
                  <c:v>113.95226052937414</c:v>
                </c:pt>
                <c:pt idx="26">
                  <c:v>115.17799018593873</c:v>
                </c:pt>
                <c:pt idx="27">
                  <c:v>116.2877772011126</c:v>
                </c:pt>
                <c:pt idx="28">
                  <c:v>117.49891037544083</c:v>
                </c:pt>
                <c:pt idx="29">
                  <c:v>118.33654399146884</c:v>
                </c:pt>
                <c:pt idx="30">
                  <c:v>119.47321806769611</c:v>
                </c:pt>
                <c:pt idx="31">
                  <c:v>120.33595536134472</c:v>
                </c:pt>
                <c:pt idx="32">
                  <c:v>121.64595840445563</c:v>
                </c:pt>
                <c:pt idx="33">
                  <c:v>122.39954581654024</c:v>
                </c:pt>
                <c:pt idx="34">
                  <c:v>123.08520563035732</c:v>
                </c:pt>
                <c:pt idx="35">
                  <c:v>124.37696591045525</c:v>
                </c:pt>
                <c:pt idx="36">
                  <c:v>125.21048752137079</c:v>
                </c:pt>
                <c:pt idx="37">
                  <c:v>126.21525937835342</c:v>
                </c:pt>
                <c:pt idx="38">
                  <c:v>126.99544987323779</c:v>
                </c:pt>
                <c:pt idx="39">
                  <c:v>128.04765745770626</c:v>
                </c:pt>
                <c:pt idx="40">
                  <c:v>128.70521478354428</c:v>
                </c:pt>
                <c:pt idx="41">
                  <c:v>129.90196729910878</c:v>
                </c:pt>
                <c:pt idx="42">
                  <c:v>130.7357274517575</c:v>
                </c:pt>
                <c:pt idx="43">
                  <c:v>131.73700069665534</c:v>
                </c:pt>
                <c:pt idx="44">
                  <c:v>132.63136180862801</c:v>
                </c:pt>
                <c:pt idx="45">
                  <c:v>133.51236458354978</c:v>
                </c:pt>
              </c:numCache>
            </c:numRef>
          </c:val>
          <c:smooth val="1"/>
        </c:ser>
        <c:ser>
          <c:idx val="1"/>
          <c:order val="1"/>
          <c:tx>
            <c:strRef>
              <c:f>'[Konya İstihdam.xlsx]4a_Sigortalı Ücretli'!$I$1</c:f>
              <c:strCache>
                <c:ptCount val="1"/>
                <c:pt idx="0">
                  <c:v> Konya Endeks </c:v>
                </c:pt>
              </c:strCache>
            </c:strRef>
          </c:tx>
          <c:marker>
            <c:symbol val="none"/>
          </c:marker>
          <c:dLbls>
            <c:dLbl>
              <c:idx val="45"/>
              <c:layout>
                <c:manualLayout>
                  <c:x val="0"/>
                  <c:y val="-3.4188023962125794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İstihdam.xlsx]4a_Sigortalı Ücretli'!$A$2:$A$47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İstihdam.xlsx]4a_Sigortalı Ücretli'!$I$2:$I$47</c:f>
              <c:numCache>
                <c:formatCode>0.0</c:formatCode>
                <c:ptCount val="46"/>
                <c:pt idx="0">
                  <c:v>100</c:v>
                </c:pt>
                <c:pt idx="1">
                  <c:v>100.91966433215886</c:v>
                </c:pt>
                <c:pt idx="2">
                  <c:v>101.29104869690117</c:v>
                </c:pt>
                <c:pt idx="3">
                  <c:v>101.81691546125414</c:v>
                </c:pt>
                <c:pt idx="4">
                  <c:v>102.2927742725348</c:v>
                </c:pt>
                <c:pt idx="5">
                  <c:v>102.80273489277801</c:v>
                </c:pt>
                <c:pt idx="6">
                  <c:v>103.31829881378717</c:v>
                </c:pt>
                <c:pt idx="7">
                  <c:v>103.97340299903118</c:v>
                </c:pt>
                <c:pt idx="8">
                  <c:v>100.78590812032758</c:v>
                </c:pt>
                <c:pt idx="9">
                  <c:v>102.81972554671346</c:v>
                </c:pt>
                <c:pt idx="10">
                  <c:v>113.23632192107659</c:v>
                </c:pt>
                <c:pt idx="11">
                  <c:v>112.30852376522539</c:v>
                </c:pt>
                <c:pt idx="12">
                  <c:v>103.80367721131553</c:v>
                </c:pt>
                <c:pt idx="13">
                  <c:v>105.48737871565108</c:v>
                </c:pt>
                <c:pt idx="14">
                  <c:v>107.15764434825779</c:v>
                </c:pt>
                <c:pt idx="15">
                  <c:v>108.44929555061778</c:v>
                </c:pt>
                <c:pt idx="16">
                  <c:v>110.11148761007776</c:v>
                </c:pt>
                <c:pt idx="17">
                  <c:v>111.25401871140946</c:v>
                </c:pt>
                <c:pt idx="18">
                  <c:v>112.60959574293743</c:v>
                </c:pt>
                <c:pt idx="19">
                  <c:v>113.7265806128203</c:v>
                </c:pt>
                <c:pt idx="20">
                  <c:v>114.88959689974791</c:v>
                </c:pt>
                <c:pt idx="21">
                  <c:v>115.94530696448108</c:v>
                </c:pt>
                <c:pt idx="22">
                  <c:v>116.93082514327585</c:v>
                </c:pt>
                <c:pt idx="23">
                  <c:v>117.37252189504837</c:v>
                </c:pt>
                <c:pt idx="24">
                  <c:v>118.67905498223814</c:v>
                </c:pt>
                <c:pt idx="25">
                  <c:v>119.7087368111554</c:v>
                </c:pt>
                <c:pt idx="26">
                  <c:v>121.33779107038708</c:v>
                </c:pt>
                <c:pt idx="27">
                  <c:v>123.0675842423133</c:v>
                </c:pt>
                <c:pt idx="28">
                  <c:v>123.94453093745031</c:v>
                </c:pt>
                <c:pt idx="29">
                  <c:v>125.48586040189529</c:v>
                </c:pt>
                <c:pt idx="30">
                  <c:v>126.57332250430183</c:v>
                </c:pt>
                <c:pt idx="31">
                  <c:v>127.75772773501329</c:v>
                </c:pt>
                <c:pt idx="32">
                  <c:v>129.11372652036212</c:v>
                </c:pt>
                <c:pt idx="33">
                  <c:v>130.07689174663921</c:v>
                </c:pt>
                <c:pt idx="34">
                  <c:v>131.31046142278049</c:v>
                </c:pt>
                <c:pt idx="35">
                  <c:v>132.89902731518757</c:v>
                </c:pt>
                <c:pt idx="36">
                  <c:v>134.04607720745949</c:v>
                </c:pt>
                <c:pt idx="37">
                  <c:v>135.53974849012133</c:v>
                </c:pt>
                <c:pt idx="38">
                  <c:v>136.71457388403925</c:v>
                </c:pt>
                <c:pt idx="39">
                  <c:v>137.80245774026724</c:v>
                </c:pt>
                <c:pt idx="40">
                  <c:v>139.29606877238308</c:v>
                </c:pt>
                <c:pt idx="41">
                  <c:v>140.57982715323411</c:v>
                </c:pt>
                <c:pt idx="42">
                  <c:v>142.0713896667904</c:v>
                </c:pt>
                <c:pt idx="43">
                  <c:v>143.57602654880054</c:v>
                </c:pt>
                <c:pt idx="44">
                  <c:v>144.69590344488518</c:v>
                </c:pt>
                <c:pt idx="45">
                  <c:v>146.30670178871819</c:v>
                </c:pt>
              </c:numCache>
            </c:numRef>
          </c:val>
          <c:smooth val="1"/>
        </c:ser>
        <c:dLbls>
          <c:showLegendKey val="0"/>
          <c:showVal val="0"/>
          <c:showCatName val="0"/>
          <c:showSerName val="0"/>
          <c:showPercent val="0"/>
          <c:showBubbleSize val="0"/>
        </c:dLbls>
        <c:marker val="1"/>
        <c:smooth val="0"/>
        <c:axId val="155339392"/>
        <c:axId val="155345280"/>
      </c:lineChart>
      <c:dateAx>
        <c:axId val="155339392"/>
        <c:scaling>
          <c:orientation val="minMax"/>
        </c:scaling>
        <c:delete val="0"/>
        <c:axPos val="b"/>
        <c:numFmt formatCode="mmm/yy" sourceLinked="0"/>
        <c:majorTickMark val="out"/>
        <c:minorTickMark val="none"/>
        <c:tickLblPos val="nextTo"/>
        <c:txPr>
          <a:bodyPr rot="-2700000"/>
          <a:lstStyle/>
          <a:p>
            <a:pPr>
              <a:defRPr/>
            </a:pPr>
            <a:endParaRPr lang="tr-TR"/>
          </a:p>
        </c:txPr>
        <c:crossAx val="155345280"/>
        <c:crosses val="autoZero"/>
        <c:auto val="1"/>
        <c:lblOffset val="100"/>
        <c:baseTimeUnit val="months"/>
      </c:dateAx>
      <c:valAx>
        <c:axId val="155345280"/>
        <c:scaling>
          <c:orientation val="minMax"/>
          <c:max val="150"/>
          <c:min val="90"/>
        </c:scaling>
        <c:delete val="0"/>
        <c:axPos val="l"/>
        <c:numFmt formatCode="#,##0.0" sourceLinked="0"/>
        <c:majorTickMark val="out"/>
        <c:minorTickMark val="none"/>
        <c:tickLblPos val="nextTo"/>
        <c:crossAx val="155339392"/>
        <c:crosses val="autoZero"/>
        <c:crossBetween val="between"/>
      </c:valAx>
    </c:plotArea>
    <c:legend>
      <c:legendPos val="b"/>
      <c:layout>
        <c:manualLayout>
          <c:xMode val="edge"/>
          <c:yMode val="edge"/>
          <c:x val="0.19929435903845438"/>
          <c:y val="0.85823225274098269"/>
          <c:w val="0.60582027940952721"/>
          <c:h val="0.13690920741930729"/>
        </c:manualLayout>
      </c:layout>
      <c:overlay val="1"/>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60216E-2"/>
          <c:w val="0.89076087711259255"/>
          <c:h val="0.70605886638752302"/>
        </c:manualLayout>
      </c:layout>
      <c:lineChart>
        <c:grouping val="standard"/>
        <c:varyColors val="0"/>
        <c:ser>
          <c:idx val="0"/>
          <c:order val="0"/>
          <c:tx>
            <c:strRef>
              <c:f>'[Konya İstihdam.xlsx]4a_İşyeri'!$E$1</c:f>
              <c:strCache>
                <c:ptCount val="1"/>
                <c:pt idx="0">
                  <c:v> Türkiye Endeks</c:v>
                </c:pt>
              </c:strCache>
            </c:strRef>
          </c:tx>
          <c:marker>
            <c:symbol val="none"/>
          </c:marker>
          <c:dLbls>
            <c:dLbl>
              <c:idx val="45"/>
              <c:layout>
                <c:manualLayout>
                  <c:x val="0"/>
                  <c:y val="4.0133779264214048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İstihdam.xlsx]4a_İşyeri'!$A$2:$A$47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İstihdam.xlsx]4a_İşyeri'!$E$2:$E$47</c:f>
              <c:numCache>
                <c:formatCode>0.0</c:formatCode>
                <c:ptCount val="46"/>
                <c:pt idx="0">
                  <c:v>100</c:v>
                </c:pt>
                <c:pt idx="1">
                  <c:v>100.09254330784864</c:v>
                </c:pt>
                <c:pt idx="2">
                  <c:v>100.09971519818608</c:v>
                </c:pt>
                <c:pt idx="3">
                  <c:v>100.20228187084375</c:v>
                </c:pt>
                <c:pt idx="4">
                  <c:v>100.34468277778545</c:v>
                </c:pt>
                <c:pt idx="5">
                  <c:v>100.48241763559187</c:v>
                </c:pt>
                <c:pt idx="6">
                  <c:v>100.64849442147903</c:v>
                </c:pt>
                <c:pt idx="7">
                  <c:v>100.91748351329306</c:v>
                </c:pt>
                <c:pt idx="8">
                  <c:v>101.23607097924824</c:v>
                </c:pt>
                <c:pt idx="9">
                  <c:v>101.66128630877488</c:v>
                </c:pt>
                <c:pt idx="10">
                  <c:v>102.04995092007582</c:v>
                </c:pt>
                <c:pt idx="11">
                  <c:v>102.48596728926748</c:v>
                </c:pt>
                <c:pt idx="12">
                  <c:v>102.99534431986285</c:v>
                </c:pt>
                <c:pt idx="13">
                  <c:v>103.55933140700385</c:v>
                </c:pt>
                <c:pt idx="14">
                  <c:v>104.25854751074914</c:v>
                </c:pt>
                <c:pt idx="15">
                  <c:v>104.815967565774</c:v>
                </c:pt>
                <c:pt idx="16">
                  <c:v>105.51371472812488</c:v>
                </c:pt>
                <c:pt idx="17">
                  <c:v>106.23669311913289</c:v>
                </c:pt>
                <c:pt idx="18">
                  <c:v>107.01514564985969</c:v>
                </c:pt>
                <c:pt idx="19">
                  <c:v>107.76067661168793</c:v>
                </c:pt>
                <c:pt idx="20">
                  <c:v>108.52305719539338</c:v>
                </c:pt>
                <c:pt idx="21">
                  <c:v>109.2584783840953</c:v>
                </c:pt>
                <c:pt idx="22">
                  <c:v>110.10977312632198</c:v>
                </c:pt>
                <c:pt idx="23">
                  <c:v>110.84156516569659</c:v>
                </c:pt>
                <c:pt idx="24">
                  <c:v>111.6853423843165</c:v>
                </c:pt>
                <c:pt idx="25">
                  <c:v>112.489976635191</c:v>
                </c:pt>
                <c:pt idx="26">
                  <c:v>114.22764789647587</c:v>
                </c:pt>
                <c:pt idx="27">
                  <c:v>115.15005668385615</c:v>
                </c:pt>
                <c:pt idx="28">
                  <c:v>115.95114819372048</c:v>
                </c:pt>
                <c:pt idx="29">
                  <c:v>116.76563299276928</c:v>
                </c:pt>
                <c:pt idx="30">
                  <c:v>117.69054762135185</c:v>
                </c:pt>
                <c:pt idx="31">
                  <c:v>118.51946260939299</c:v>
                </c:pt>
                <c:pt idx="32">
                  <c:v>119.38285451604418</c:v>
                </c:pt>
                <c:pt idx="33">
                  <c:v>120.18455088412988</c:v>
                </c:pt>
                <c:pt idx="34">
                  <c:v>120.95038780052803</c:v>
                </c:pt>
                <c:pt idx="35">
                  <c:v>121.84808380915513</c:v>
                </c:pt>
                <c:pt idx="36">
                  <c:v>122.60268764430188</c:v>
                </c:pt>
                <c:pt idx="37">
                  <c:v>123.41449378551393</c:v>
                </c:pt>
                <c:pt idx="38">
                  <c:v>124.17955302705612</c:v>
                </c:pt>
                <c:pt idx="39">
                  <c:v>125.03758761803377</c:v>
                </c:pt>
                <c:pt idx="40">
                  <c:v>125.89804164189628</c:v>
                </c:pt>
                <c:pt idx="41">
                  <c:v>126.80852608148648</c:v>
                </c:pt>
                <c:pt idx="42">
                  <c:v>127.58732424548259</c:v>
                </c:pt>
                <c:pt idx="43">
                  <c:v>128.4702444318479</c:v>
                </c:pt>
                <c:pt idx="44">
                  <c:v>129.32421783191174</c:v>
                </c:pt>
                <c:pt idx="45">
                  <c:v>130.23349255505937</c:v>
                </c:pt>
              </c:numCache>
            </c:numRef>
          </c:val>
          <c:smooth val="1"/>
        </c:ser>
        <c:ser>
          <c:idx val="1"/>
          <c:order val="1"/>
          <c:tx>
            <c:strRef>
              <c:f>'[Konya İstihdam.xlsx]4a_İşyeri'!$I$1</c:f>
              <c:strCache>
                <c:ptCount val="1"/>
                <c:pt idx="0">
                  <c:v> Konya Endeks </c:v>
                </c:pt>
              </c:strCache>
            </c:strRef>
          </c:tx>
          <c:marker>
            <c:symbol val="none"/>
          </c:marker>
          <c:dLbls>
            <c:dLbl>
              <c:idx val="45"/>
              <c:layout>
                <c:manualLayout>
                  <c:x val="-1.8885741265344683E-3"/>
                  <c:y val="-3.1215161649944284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İstihdam.xlsx]4a_İşyeri'!$A$2:$A$47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İstihdam.xlsx]4a_İşyeri'!$I$2:$I$47</c:f>
              <c:numCache>
                <c:formatCode>0.0</c:formatCode>
                <c:ptCount val="46"/>
                <c:pt idx="0">
                  <c:v>100</c:v>
                </c:pt>
                <c:pt idx="1">
                  <c:v>100.48551084591369</c:v>
                </c:pt>
                <c:pt idx="2">
                  <c:v>99.342674211760752</c:v>
                </c:pt>
                <c:pt idx="3">
                  <c:v>99.83792123773955</c:v>
                </c:pt>
                <c:pt idx="4">
                  <c:v>100.33736818453075</c:v>
                </c:pt>
                <c:pt idx="5">
                  <c:v>100.75877296640778</c:v>
                </c:pt>
                <c:pt idx="6">
                  <c:v>101.21916064964385</c:v>
                </c:pt>
                <c:pt idx="7">
                  <c:v>101.78866991180551</c:v>
                </c:pt>
                <c:pt idx="8">
                  <c:v>102.44271212559131</c:v>
                </c:pt>
                <c:pt idx="9">
                  <c:v>103.87771052389422</c:v>
                </c:pt>
                <c:pt idx="10">
                  <c:v>104.59876056518716</c:v>
                </c:pt>
                <c:pt idx="11">
                  <c:v>105.3354266756825</c:v>
                </c:pt>
                <c:pt idx="12">
                  <c:v>106.12840990616228</c:v>
                </c:pt>
                <c:pt idx="13">
                  <c:v>106.93051841913453</c:v>
                </c:pt>
                <c:pt idx="14">
                  <c:v>107.76588266872128</c:v>
                </c:pt>
                <c:pt idx="15">
                  <c:v>108.58555448690903</c:v>
                </c:pt>
                <c:pt idx="16">
                  <c:v>109.49949543678601</c:v>
                </c:pt>
                <c:pt idx="17">
                  <c:v>110.56703894510213</c:v>
                </c:pt>
                <c:pt idx="18">
                  <c:v>111.66287464725431</c:v>
                </c:pt>
                <c:pt idx="19">
                  <c:v>112.68471538091183</c:v>
                </c:pt>
                <c:pt idx="20">
                  <c:v>113.71854497943374</c:v>
                </c:pt>
                <c:pt idx="21">
                  <c:v>114.74137842164684</c:v>
                </c:pt>
                <c:pt idx="22">
                  <c:v>115.85531196439078</c:v>
                </c:pt>
                <c:pt idx="23">
                  <c:v>116.98825969408546</c:v>
                </c:pt>
                <c:pt idx="24">
                  <c:v>118.0012424129385</c:v>
                </c:pt>
                <c:pt idx="25">
                  <c:v>118.47400077202175</c:v>
                </c:pt>
                <c:pt idx="26">
                  <c:v>120.14430927911418</c:v>
                </c:pt>
                <c:pt idx="27">
                  <c:v>121.28813862182271</c:v>
                </c:pt>
                <c:pt idx="28">
                  <c:v>122.31532470924139</c:v>
                </c:pt>
                <c:pt idx="29">
                  <c:v>123.26519407261355</c:v>
                </c:pt>
                <c:pt idx="30">
                  <c:v>124.29826004916966</c:v>
                </c:pt>
                <c:pt idx="31">
                  <c:v>125.33506777335846</c:v>
                </c:pt>
                <c:pt idx="32">
                  <c:v>127.18165841127687</c:v>
                </c:pt>
                <c:pt idx="33">
                  <c:v>128.18631765070185</c:v>
                </c:pt>
                <c:pt idx="34">
                  <c:v>129.07990807518775</c:v>
                </c:pt>
                <c:pt idx="35">
                  <c:v>132.67943111690778</c:v>
                </c:pt>
                <c:pt idx="36">
                  <c:v>132.88209638665566</c:v>
                </c:pt>
                <c:pt idx="37">
                  <c:v>133.33855141676693</c:v>
                </c:pt>
                <c:pt idx="38">
                  <c:v>133.90832794661694</c:v>
                </c:pt>
                <c:pt idx="39">
                  <c:v>134.6147546272625</c:v>
                </c:pt>
                <c:pt idx="40">
                  <c:v>135.4741347876768</c:v>
                </c:pt>
                <c:pt idx="41">
                  <c:v>136.44504193620929</c:v>
                </c:pt>
                <c:pt idx="42">
                  <c:v>137.35783745313768</c:v>
                </c:pt>
                <c:pt idx="43">
                  <c:v>138.31190673732209</c:v>
                </c:pt>
                <c:pt idx="44">
                  <c:v>139.24367826010226</c:v>
                </c:pt>
                <c:pt idx="45">
                  <c:v>140.21538721169929</c:v>
                </c:pt>
              </c:numCache>
            </c:numRef>
          </c:val>
          <c:smooth val="1"/>
        </c:ser>
        <c:dLbls>
          <c:showLegendKey val="0"/>
          <c:showVal val="0"/>
          <c:showCatName val="0"/>
          <c:showSerName val="0"/>
          <c:showPercent val="0"/>
          <c:showBubbleSize val="0"/>
        </c:dLbls>
        <c:marker val="1"/>
        <c:smooth val="0"/>
        <c:axId val="155574272"/>
        <c:axId val="155575808"/>
      </c:lineChart>
      <c:dateAx>
        <c:axId val="155574272"/>
        <c:scaling>
          <c:orientation val="minMax"/>
        </c:scaling>
        <c:delete val="0"/>
        <c:axPos val="b"/>
        <c:numFmt formatCode="mmm/yy" sourceLinked="0"/>
        <c:majorTickMark val="out"/>
        <c:minorTickMark val="none"/>
        <c:tickLblPos val="nextTo"/>
        <c:txPr>
          <a:bodyPr rot="-2700000"/>
          <a:lstStyle/>
          <a:p>
            <a:pPr>
              <a:defRPr/>
            </a:pPr>
            <a:endParaRPr lang="tr-TR"/>
          </a:p>
        </c:txPr>
        <c:crossAx val="155575808"/>
        <c:crosses val="autoZero"/>
        <c:auto val="1"/>
        <c:lblOffset val="100"/>
        <c:baseTimeUnit val="months"/>
      </c:dateAx>
      <c:valAx>
        <c:axId val="155575808"/>
        <c:scaling>
          <c:orientation val="minMax"/>
          <c:max val="145"/>
          <c:min val="95"/>
        </c:scaling>
        <c:delete val="0"/>
        <c:axPos val="l"/>
        <c:numFmt formatCode="#,##0.0" sourceLinked="0"/>
        <c:majorTickMark val="out"/>
        <c:minorTickMark val="none"/>
        <c:tickLblPos val="nextTo"/>
        <c:crossAx val="155574272"/>
        <c:crosses val="autoZero"/>
        <c:crossBetween val="between"/>
      </c:valAx>
    </c:plotArea>
    <c:legend>
      <c:legendPos val="b"/>
      <c:layout>
        <c:manualLayout>
          <c:xMode val="edge"/>
          <c:yMode val="edge"/>
          <c:x val="0.19929435903845424"/>
          <c:y val="0.91174395842660161"/>
          <c:w val="0.60582027940952765"/>
          <c:h val="8.3397501733688068E-2"/>
        </c:manualLayout>
      </c:layout>
      <c:overlay val="1"/>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60195E-2"/>
          <c:w val="0.89076087711259277"/>
          <c:h val="0.67484370473757804"/>
        </c:manualLayout>
      </c:layout>
      <c:lineChart>
        <c:grouping val="standard"/>
        <c:varyColors val="0"/>
        <c:ser>
          <c:idx val="0"/>
          <c:order val="0"/>
          <c:tx>
            <c:strRef>
              <c:f>'[Konya İstihdam.xlsx]4a_Sigortalı Ücretli Kadın'!$E$1</c:f>
              <c:strCache>
                <c:ptCount val="1"/>
                <c:pt idx="0">
                  <c:v> Türkiye Endeks</c:v>
                </c:pt>
              </c:strCache>
            </c:strRef>
          </c:tx>
          <c:marker>
            <c:symbol val="none"/>
          </c:marker>
          <c:dLbls>
            <c:dLbl>
              <c:idx val="45"/>
              <c:layout>
                <c:manualLayout>
                  <c:x val="0"/>
                  <c:y val="4.4593088071348992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İstihdam.xlsx]4a_Sigortalı Ücretli Kadın'!$A$2:$A$47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İstihdam.xlsx]4a_Sigortalı Ücretli Kadın'!$E$2:$E$47</c:f>
              <c:numCache>
                <c:formatCode>0.0</c:formatCode>
                <c:ptCount val="46"/>
                <c:pt idx="0">
                  <c:v>100</c:v>
                </c:pt>
                <c:pt idx="1">
                  <c:v>100.11581102268033</c:v>
                </c:pt>
                <c:pt idx="2">
                  <c:v>99.428982553851029</c:v>
                </c:pt>
                <c:pt idx="3">
                  <c:v>99.224561150719481</c:v>
                </c:pt>
                <c:pt idx="4">
                  <c:v>99.5231310830805</c:v>
                </c:pt>
                <c:pt idx="5">
                  <c:v>98.892125193528827</c:v>
                </c:pt>
                <c:pt idx="6">
                  <c:v>98.963483995485177</c:v>
                </c:pt>
                <c:pt idx="7">
                  <c:v>99.205251145245114</c:v>
                </c:pt>
                <c:pt idx="8">
                  <c:v>100.13257249951351</c:v>
                </c:pt>
                <c:pt idx="9">
                  <c:v>100.70393301682562</c:v>
                </c:pt>
                <c:pt idx="10">
                  <c:v>101.94545854646623</c:v>
                </c:pt>
                <c:pt idx="11">
                  <c:v>102.4139957351354</c:v>
                </c:pt>
                <c:pt idx="12">
                  <c:v>103.30402035294181</c:v>
                </c:pt>
                <c:pt idx="13">
                  <c:v>104.41066990525856</c:v>
                </c:pt>
                <c:pt idx="14">
                  <c:v>105.92238848104263</c:v>
                </c:pt>
                <c:pt idx="15">
                  <c:v>106.74865087265044</c:v>
                </c:pt>
                <c:pt idx="16">
                  <c:v>107.11019886855124</c:v>
                </c:pt>
                <c:pt idx="17">
                  <c:v>109.37804628814148</c:v>
                </c:pt>
                <c:pt idx="18">
                  <c:v>110.5625729945162</c:v>
                </c:pt>
                <c:pt idx="19">
                  <c:v>111.58026909521854</c:v>
                </c:pt>
                <c:pt idx="20">
                  <c:v>112.06497963872646</c:v>
                </c:pt>
                <c:pt idx="21">
                  <c:v>113.8343446581125</c:v>
                </c:pt>
                <c:pt idx="22">
                  <c:v>115.4161967816985</c:v>
                </c:pt>
                <c:pt idx="23">
                  <c:v>116.08351920438859</c:v>
                </c:pt>
                <c:pt idx="24">
                  <c:v>116.82239646969967</c:v>
                </c:pt>
                <c:pt idx="25">
                  <c:v>117.94051440090232</c:v>
                </c:pt>
                <c:pt idx="26">
                  <c:v>119.58652083201618</c:v>
                </c:pt>
                <c:pt idx="27">
                  <c:v>121.19542656733286</c:v>
                </c:pt>
                <c:pt idx="28">
                  <c:v>123.19587452025164</c:v>
                </c:pt>
                <c:pt idx="29">
                  <c:v>123.8924560121505</c:v>
                </c:pt>
                <c:pt idx="30">
                  <c:v>125.36972044111116</c:v>
                </c:pt>
                <c:pt idx="31">
                  <c:v>126.51699942118996</c:v>
                </c:pt>
                <c:pt idx="32">
                  <c:v>127.36879610937692</c:v>
                </c:pt>
                <c:pt idx="33">
                  <c:v>127.60963206597944</c:v>
                </c:pt>
                <c:pt idx="34">
                  <c:v>127.22387304798629</c:v>
                </c:pt>
                <c:pt idx="35">
                  <c:v>128.83429809845461</c:v>
                </c:pt>
                <c:pt idx="36">
                  <c:v>129.9455546063918</c:v>
                </c:pt>
                <c:pt idx="37">
                  <c:v>130.94340158979176</c:v>
                </c:pt>
                <c:pt idx="38">
                  <c:v>131.97408538453118</c:v>
                </c:pt>
                <c:pt idx="39">
                  <c:v>133.34298833607065</c:v>
                </c:pt>
                <c:pt idx="40">
                  <c:v>134.25840021995762</c:v>
                </c:pt>
                <c:pt idx="41">
                  <c:v>135.54981809876807</c:v>
                </c:pt>
                <c:pt idx="42">
                  <c:v>136.45557497991797</c:v>
                </c:pt>
                <c:pt idx="43">
                  <c:v>137.7578241054542</c:v>
                </c:pt>
                <c:pt idx="44">
                  <c:v>139.15133016041528</c:v>
                </c:pt>
                <c:pt idx="45">
                  <c:v>140.18113177216361</c:v>
                </c:pt>
              </c:numCache>
            </c:numRef>
          </c:val>
          <c:smooth val="1"/>
        </c:ser>
        <c:ser>
          <c:idx val="1"/>
          <c:order val="1"/>
          <c:tx>
            <c:strRef>
              <c:f>'[Konya İstihdam.xlsx]4a_Sigortalı Ücretli Kadın'!$I$1</c:f>
              <c:strCache>
                <c:ptCount val="1"/>
                <c:pt idx="0">
                  <c:v> Konya Endeks </c:v>
                </c:pt>
              </c:strCache>
            </c:strRef>
          </c:tx>
          <c:marker>
            <c:symbol val="none"/>
          </c:marker>
          <c:dLbls>
            <c:dLbl>
              <c:idx val="45"/>
              <c:layout>
                <c:manualLayout>
                  <c:x val="-1.8966331923353321E-3"/>
                  <c:y val="-4.0133779264214048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İstihdam.xlsx]4a_Sigortalı Ücretli Kadın'!$A$2:$A$47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İstihdam.xlsx]4a_Sigortalı Ücretli Kadın'!$I$2:$I$47</c:f>
              <c:numCache>
                <c:formatCode>0.0</c:formatCode>
                <c:ptCount val="46"/>
                <c:pt idx="0">
                  <c:v>100</c:v>
                </c:pt>
                <c:pt idx="1">
                  <c:v>99.838524839421126</c:v>
                </c:pt>
                <c:pt idx="2">
                  <c:v>99.005210318298182</c:v>
                </c:pt>
                <c:pt idx="3">
                  <c:v>98.591385955290676</c:v>
                </c:pt>
                <c:pt idx="4">
                  <c:v>98.945852261736732</c:v>
                </c:pt>
                <c:pt idx="5">
                  <c:v>98.790529800533037</c:v>
                </c:pt>
                <c:pt idx="6">
                  <c:v>98.750559386606852</c:v>
                </c:pt>
                <c:pt idx="7">
                  <c:v>98.846169679054867</c:v>
                </c:pt>
                <c:pt idx="8">
                  <c:v>91.101204822476888</c:v>
                </c:pt>
                <c:pt idx="9">
                  <c:v>99.542442781002421</c:v>
                </c:pt>
                <c:pt idx="10">
                  <c:v>133.60113068023637</c:v>
                </c:pt>
                <c:pt idx="11">
                  <c:v>144.62420064705154</c:v>
                </c:pt>
                <c:pt idx="12">
                  <c:v>114.87240231040484</c:v>
                </c:pt>
                <c:pt idx="13">
                  <c:v>112.68204133286045</c:v>
                </c:pt>
                <c:pt idx="14">
                  <c:v>111.33566250629097</c:v>
                </c:pt>
                <c:pt idx="15">
                  <c:v>111.92729545483728</c:v>
                </c:pt>
                <c:pt idx="16">
                  <c:v>111.16303281159318</c:v>
                </c:pt>
                <c:pt idx="17">
                  <c:v>111.97408252850271</c:v>
                </c:pt>
                <c:pt idx="18">
                  <c:v>113.41474372679184</c:v>
                </c:pt>
                <c:pt idx="19">
                  <c:v>114.77378206430591</c:v>
                </c:pt>
                <c:pt idx="20">
                  <c:v>118.02559434412004</c:v>
                </c:pt>
                <c:pt idx="21">
                  <c:v>121.17449276747966</c:v>
                </c:pt>
                <c:pt idx="22">
                  <c:v>122.77901938365888</c:v>
                </c:pt>
                <c:pt idx="23">
                  <c:v>125.39188047296989</c:v>
                </c:pt>
                <c:pt idx="24">
                  <c:v>127.69577867279622</c:v>
                </c:pt>
                <c:pt idx="25">
                  <c:v>127.89598485462135</c:v>
                </c:pt>
                <c:pt idx="26">
                  <c:v>129.73170246962272</c:v>
                </c:pt>
                <c:pt idx="27">
                  <c:v>131.94140682577824</c:v>
                </c:pt>
                <c:pt idx="28">
                  <c:v>133.9433801159806</c:v>
                </c:pt>
                <c:pt idx="29">
                  <c:v>136.12320625574603</c:v>
                </c:pt>
                <c:pt idx="30">
                  <c:v>137.09050797836906</c:v>
                </c:pt>
                <c:pt idx="31">
                  <c:v>138.45410551038421</c:v>
                </c:pt>
                <c:pt idx="32">
                  <c:v>140.16380344825598</c:v>
                </c:pt>
                <c:pt idx="33">
                  <c:v>139.03445113273852</c:v>
                </c:pt>
                <c:pt idx="34">
                  <c:v>140.61573913616976</c:v>
                </c:pt>
                <c:pt idx="35">
                  <c:v>142.5511835978773</c:v>
                </c:pt>
                <c:pt idx="36">
                  <c:v>144.65930201830673</c:v>
                </c:pt>
                <c:pt idx="37">
                  <c:v>146.26697138020984</c:v>
                </c:pt>
                <c:pt idx="38">
                  <c:v>148.02407608808721</c:v>
                </c:pt>
                <c:pt idx="39">
                  <c:v>147.71936254493355</c:v>
                </c:pt>
                <c:pt idx="40">
                  <c:v>149.43910841631731</c:v>
                </c:pt>
                <c:pt idx="41">
                  <c:v>150.49715138871741</c:v>
                </c:pt>
                <c:pt idx="42">
                  <c:v>152.56237796961804</c:v>
                </c:pt>
                <c:pt idx="43">
                  <c:v>154.64699219315389</c:v>
                </c:pt>
                <c:pt idx="44">
                  <c:v>153.996399564265</c:v>
                </c:pt>
                <c:pt idx="45">
                  <c:v>156.919374407692</c:v>
                </c:pt>
              </c:numCache>
            </c:numRef>
          </c:val>
          <c:smooth val="1"/>
        </c:ser>
        <c:dLbls>
          <c:showLegendKey val="0"/>
          <c:showVal val="0"/>
          <c:showCatName val="0"/>
          <c:showSerName val="0"/>
          <c:showPercent val="0"/>
          <c:showBubbleSize val="0"/>
        </c:dLbls>
        <c:marker val="1"/>
        <c:smooth val="0"/>
        <c:axId val="155751552"/>
        <c:axId val="155753088"/>
      </c:lineChart>
      <c:dateAx>
        <c:axId val="155751552"/>
        <c:scaling>
          <c:orientation val="minMax"/>
        </c:scaling>
        <c:delete val="0"/>
        <c:axPos val="b"/>
        <c:numFmt formatCode="mmm/yy" sourceLinked="0"/>
        <c:majorTickMark val="out"/>
        <c:minorTickMark val="none"/>
        <c:tickLblPos val="nextTo"/>
        <c:txPr>
          <a:bodyPr rot="-2760000"/>
          <a:lstStyle/>
          <a:p>
            <a:pPr>
              <a:defRPr/>
            </a:pPr>
            <a:endParaRPr lang="tr-TR"/>
          </a:p>
        </c:txPr>
        <c:crossAx val="155753088"/>
        <c:crosses val="autoZero"/>
        <c:auto val="1"/>
        <c:lblOffset val="100"/>
        <c:baseTimeUnit val="months"/>
      </c:dateAx>
      <c:valAx>
        <c:axId val="155753088"/>
        <c:scaling>
          <c:orientation val="minMax"/>
          <c:max val="160"/>
          <c:min val="90"/>
        </c:scaling>
        <c:delete val="0"/>
        <c:axPos val="l"/>
        <c:numFmt formatCode="#,##0.0" sourceLinked="0"/>
        <c:majorTickMark val="out"/>
        <c:minorTickMark val="none"/>
        <c:tickLblPos val="nextTo"/>
        <c:crossAx val="155751552"/>
        <c:crosses val="autoZero"/>
        <c:crossBetween val="between"/>
        <c:majorUnit val="10"/>
      </c:valAx>
    </c:plotArea>
    <c:legend>
      <c:legendPos val="b"/>
      <c:layout>
        <c:manualLayout>
          <c:xMode val="edge"/>
          <c:yMode val="edge"/>
          <c:x val="0.19929435903845424"/>
          <c:y val="0.91174395842660161"/>
          <c:w val="0.60582027940952798"/>
          <c:h val="8.3397501733688068E-2"/>
        </c:manualLayout>
      </c:layout>
      <c:overlay val="1"/>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60195E-2"/>
          <c:w val="0.89076087711259277"/>
          <c:h val="0.70605886638752324"/>
        </c:manualLayout>
      </c:layout>
      <c:lineChart>
        <c:grouping val="standard"/>
        <c:varyColors val="0"/>
        <c:ser>
          <c:idx val="0"/>
          <c:order val="0"/>
          <c:tx>
            <c:strRef>
              <c:f>'[Konya İstihdam.xlsx]4b_Esnaf'!$E$1</c:f>
              <c:strCache>
                <c:ptCount val="1"/>
                <c:pt idx="0">
                  <c:v> Türkiye Endeks</c:v>
                </c:pt>
              </c:strCache>
            </c:strRef>
          </c:tx>
          <c:marker>
            <c:symbol val="none"/>
          </c:marker>
          <c:dLbls>
            <c:dLbl>
              <c:idx val="45"/>
              <c:layout>
                <c:manualLayout>
                  <c:x val="0"/>
                  <c:y val="-4.0133779264214048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İstihdam.xlsx]4b_Esnaf'!$A$2:$A$47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İstihdam.xlsx]4b_Esnaf'!$E$2:$E$47</c:f>
              <c:numCache>
                <c:formatCode>0.0</c:formatCode>
                <c:ptCount val="46"/>
                <c:pt idx="0">
                  <c:v>100</c:v>
                </c:pt>
                <c:pt idx="1">
                  <c:v>99.944109476797209</c:v>
                </c:pt>
                <c:pt idx="2">
                  <c:v>99.282989576287378</c:v>
                </c:pt>
                <c:pt idx="3">
                  <c:v>99.605178945857887</c:v>
                </c:pt>
                <c:pt idx="4">
                  <c:v>99.588749731595456</c:v>
                </c:pt>
                <c:pt idx="5">
                  <c:v>99.344807094509051</c:v>
                </c:pt>
                <c:pt idx="6">
                  <c:v>99.833628210000711</c:v>
                </c:pt>
                <c:pt idx="7">
                  <c:v>100.58126144131015</c:v>
                </c:pt>
                <c:pt idx="8">
                  <c:v>97.99714360433056</c:v>
                </c:pt>
                <c:pt idx="9">
                  <c:v>94.881155951196916</c:v>
                </c:pt>
                <c:pt idx="10">
                  <c:v>92.331040348798453</c:v>
                </c:pt>
                <c:pt idx="11">
                  <c:v>95.612775897718677</c:v>
                </c:pt>
                <c:pt idx="12">
                  <c:v>95.908969675101943</c:v>
                </c:pt>
                <c:pt idx="13">
                  <c:v>95.906734054173768</c:v>
                </c:pt>
                <c:pt idx="14">
                  <c:v>95.76708573294313</c:v>
                </c:pt>
                <c:pt idx="15">
                  <c:v>95.224765688729832</c:v>
                </c:pt>
                <c:pt idx="16">
                  <c:v>95.239323220354763</c:v>
                </c:pt>
                <c:pt idx="17">
                  <c:v>95.096763392799119</c:v>
                </c:pt>
                <c:pt idx="18">
                  <c:v>95.073419351014849</c:v>
                </c:pt>
                <c:pt idx="19">
                  <c:v>95.707555826833982</c:v>
                </c:pt>
                <c:pt idx="20">
                  <c:v>95.671110006587227</c:v>
                </c:pt>
                <c:pt idx="21">
                  <c:v>96.469174686740189</c:v>
                </c:pt>
                <c:pt idx="22">
                  <c:v>96.313721045459488</c:v>
                </c:pt>
                <c:pt idx="23">
                  <c:v>95.552882053318939</c:v>
                </c:pt>
                <c:pt idx="24">
                  <c:v>95.682496075965318</c:v>
                </c:pt>
                <c:pt idx="25">
                  <c:v>95.931377875567378</c:v>
                </c:pt>
                <c:pt idx="26">
                  <c:v>97.316838956786356</c:v>
                </c:pt>
                <c:pt idx="27">
                  <c:v>97.596915467013474</c:v>
                </c:pt>
                <c:pt idx="28">
                  <c:v>97.558026061101074</c:v>
                </c:pt>
                <c:pt idx="29">
                  <c:v>98.240462347204399</c:v>
                </c:pt>
                <c:pt idx="30">
                  <c:v>98.300824112263456</c:v>
                </c:pt>
                <c:pt idx="31">
                  <c:v>97.50395522935132</c:v>
                </c:pt>
                <c:pt idx="32">
                  <c:v>97.783823774840798</c:v>
                </c:pt>
                <c:pt idx="33">
                  <c:v>97.004008000403388</c:v>
                </c:pt>
                <c:pt idx="34">
                  <c:v>97.217275838708787</c:v>
                </c:pt>
                <c:pt idx="35">
                  <c:v>98.057661342942694</c:v>
                </c:pt>
                <c:pt idx="36">
                  <c:v>98.078561799061319</c:v>
                </c:pt>
                <c:pt idx="37">
                  <c:v>98.402258912978709</c:v>
                </c:pt>
                <c:pt idx="38">
                  <c:v>98.328431431166436</c:v>
                </c:pt>
                <c:pt idx="39">
                  <c:v>98.845483759773686</c:v>
                </c:pt>
                <c:pt idx="40">
                  <c:v>99.467662263186696</c:v>
                </c:pt>
                <c:pt idx="41">
                  <c:v>99.769419097297913</c:v>
                </c:pt>
                <c:pt idx="42">
                  <c:v>99.864926902994313</c:v>
                </c:pt>
                <c:pt idx="43">
                  <c:v>99.909899277478502</c:v>
                </c:pt>
                <c:pt idx="44">
                  <c:v>100.17604215029287</c:v>
                </c:pt>
                <c:pt idx="45">
                  <c:v>100.67422167897217</c:v>
                </c:pt>
              </c:numCache>
            </c:numRef>
          </c:val>
          <c:smooth val="1"/>
        </c:ser>
        <c:ser>
          <c:idx val="1"/>
          <c:order val="1"/>
          <c:tx>
            <c:strRef>
              <c:f>'[Konya İstihdam.xlsx]4b_Esnaf'!$I$1</c:f>
              <c:strCache>
                <c:ptCount val="1"/>
                <c:pt idx="0">
                  <c:v> Konya Endeks </c:v>
                </c:pt>
              </c:strCache>
            </c:strRef>
          </c:tx>
          <c:marker>
            <c:symbol val="none"/>
          </c:marker>
          <c:dLbls>
            <c:dLbl>
              <c:idx val="45"/>
              <c:layout>
                <c:manualLayout>
                  <c:x val="-1.8885741265344683E-3"/>
                  <c:y val="-4.0133779264214048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İstihdam.xlsx]4b_Esnaf'!$A$2:$A$47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İstihdam.xlsx]4b_Esnaf'!$I$2:$I$47</c:f>
              <c:numCache>
                <c:formatCode>0.0</c:formatCode>
                <c:ptCount val="46"/>
                <c:pt idx="0">
                  <c:v>100</c:v>
                </c:pt>
                <c:pt idx="1">
                  <c:v>99.254806125605782</c:v>
                </c:pt>
                <c:pt idx="2">
                  <c:v>98.887712073898186</c:v>
                </c:pt>
                <c:pt idx="3">
                  <c:v>99.05757927035522</c:v>
                </c:pt>
                <c:pt idx="4">
                  <c:v>98.8449443357338</c:v>
                </c:pt>
                <c:pt idx="5">
                  <c:v>98.829862990188815</c:v>
                </c:pt>
                <c:pt idx="6">
                  <c:v>98.987813000257489</c:v>
                </c:pt>
                <c:pt idx="7">
                  <c:v>99.595589506066148</c:v>
                </c:pt>
                <c:pt idx="8">
                  <c:v>93.178416788890857</c:v>
                </c:pt>
                <c:pt idx="9">
                  <c:v>93.643926508276436</c:v>
                </c:pt>
                <c:pt idx="10">
                  <c:v>94.464819451186926</c:v>
                </c:pt>
                <c:pt idx="11">
                  <c:v>95.695952507346789</c:v>
                </c:pt>
                <c:pt idx="12">
                  <c:v>96.272706496207888</c:v>
                </c:pt>
                <c:pt idx="13">
                  <c:v>96.842203554829638</c:v>
                </c:pt>
                <c:pt idx="14">
                  <c:v>96.907550320018657</c:v>
                </c:pt>
                <c:pt idx="15">
                  <c:v>96.407303635980057</c:v>
                </c:pt>
                <c:pt idx="16">
                  <c:v>96.718285452210793</c:v>
                </c:pt>
                <c:pt idx="17">
                  <c:v>96.671803266340874</c:v>
                </c:pt>
                <c:pt idx="18">
                  <c:v>96.846365111981086</c:v>
                </c:pt>
                <c:pt idx="19">
                  <c:v>97.168782612119884</c:v>
                </c:pt>
                <c:pt idx="20">
                  <c:v>96.901634718117336</c:v>
                </c:pt>
                <c:pt idx="21">
                  <c:v>97.549083589002635</c:v>
                </c:pt>
                <c:pt idx="22">
                  <c:v>97.90113068819953</c:v>
                </c:pt>
                <c:pt idx="23">
                  <c:v>95.189601059718171</c:v>
                </c:pt>
                <c:pt idx="24">
                  <c:v>95.802622503259158</c:v>
                </c:pt>
                <c:pt idx="25">
                  <c:v>96.387149317874318</c:v>
                </c:pt>
                <c:pt idx="26">
                  <c:v>97.403824608594363</c:v>
                </c:pt>
                <c:pt idx="27">
                  <c:v>97.194095885372235</c:v>
                </c:pt>
                <c:pt idx="28">
                  <c:v>96.641313841425074</c:v>
                </c:pt>
                <c:pt idx="29">
                  <c:v>96.563998300296248</c:v>
                </c:pt>
                <c:pt idx="30">
                  <c:v>95.602541026160779</c:v>
                </c:pt>
                <c:pt idx="31">
                  <c:v>93.969611346674711</c:v>
                </c:pt>
                <c:pt idx="32">
                  <c:v>93.469794575565032</c:v>
                </c:pt>
                <c:pt idx="33">
                  <c:v>91.740134487082145</c:v>
                </c:pt>
                <c:pt idx="34">
                  <c:v>92.74597597199444</c:v>
                </c:pt>
                <c:pt idx="35">
                  <c:v>92.686596398258217</c:v>
                </c:pt>
                <c:pt idx="36">
                  <c:v>92.964096595588302</c:v>
                </c:pt>
                <c:pt idx="37">
                  <c:v>93.236420641254696</c:v>
                </c:pt>
                <c:pt idx="38">
                  <c:v>92.858595962842443</c:v>
                </c:pt>
                <c:pt idx="39">
                  <c:v>93.505081828767018</c:v>
                </c:pt>
                <c:pt idx="40">
                  <c:v>93.914444919641596</c:v>
                </c:pt>
                <c:pt idx="41">
                  <c:v>93.912295354997227</c:v>
                </c:pt>
                <c:pt idx="42">
                  <c:v>94.343171288832536</c:v>
                </c:pt>
                <c:pt idx="43">
                  <c:v>94.81793273444741</c:v>
                </c:pt>
                <c:pt idx="44">
                  <c:v>95.530642387935899</c:v>
                </c:pt>
                <c:pt idx="45">
                  <c:v>95.435115735139931</c:v>
                </c:pt>
              </c:numCache>
            </c:numRef>
          </c:val>
          <c:smooth val="1"/>
        </c:ser>
        <c:dLbls>
          <c:showLegendKey val="0"/>
          <c:showVal val="0"/>
          <c:showCatName val="0"/>
          <c:showSerName val="0"/>
          <c:showPercent val="0"/>
          <c:showBubbleSize val="0"/>
        </c:dLbls>
        <c:marker val="1"/>
        <c:smooth val="0"/>
        <c:axId val="155916544"/>
        <c:axId val="155922432"/>
      </c:lineChart>
      <c:dateAx>
        <c:axId val="155916544"/>
        <c:scaling>
          <c:orientation val="minMax"/>
        </c:scaling>
        <c:delete val="0"/>
        <c:axPos val="b"/>
        <c:numFmt formatCode="mmm/yy" sourceLinked="0"/>
        <c:majorTickMark val="out"/>
        <c:minorTickMark val="none"/>
        <c:tickLblPos val="nextTo"/>
        <c:txPr>
          <a:bodyPr rot="-2700000"/>
          <a:lstStyle/>
          <a:p>
            <a:pPr>
              <a:defRPr/>
            </a:pPr>
            <a:endParaRPr lang="tr-TR"/>
          </a:p>
        </c:txPr>
        <c:crossAx val="155922432"/>
        <c:crosses val="autoZero"/>
        <c:auto val="1"/>
        <c:lblOffset val="100"/>
        <c:baseTimeUnit val="months"/>
      </c:dateAx>
      <c:valAx>
        <c:axId val="155922432"/>
        <c:scaling>
          <c:orientation val="minMax"/>
          <c:max val="110"/>
          <c:min val="90"/>
        </c:scaling>
        <c:delete val="0"/>
        <c:axPos val="l"/>
        <c:numFmt formatCode="#,##0.0" sourceLinked="0"/>
        <c:majorTickMark val="out"/>
        <c:minorTickMark val="none"/>
        <c:tickLblPos val="nextTo"/>
        <c:crossAx val="155916544"/>
        <c:crosses val="autoZero"/>
        <c:crossBetween val="between"/>
        <c:majorUnit val="5"/>
      </c:valAx>
    </c:plotArea>
    <c:legend>
      <c:legendPos val="b"/>
      <c:layout>
        <c:manualLayout>
          <c:xMode val="edge"/>
          <c:yMode val="edge"/>
          <c:x val="0.19929435903845424"/>
          <c:y val="0.92066257604087165"/>
          <c:w val="0.60582027940952798"/>
          <c:h val="7.4478884119418276E-2"/>
        </c:manualLayout>
      </c:layout>
      <c:overlay val="1"/>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60161E-2"/>
          <c:w val="0.890760877112593"/>
          <c:h val="0.67489937595303051"/>
        </c:manualLayout>
      </c:layout>
      <c:lineChart>
        <c:grouping val="standard"/>
        <c:varyColors val="0"/>
        <c:ser>
          <c:idx val="0"/>
          <c:order val="0"/>
          <c:tx>
            <c:strRef>
              <c:f>'[Konya İstihdam.xlsx]4b_Tarım'!$E$1</c:f>
              <c:strCache>
                <c:ptCount val="1"/>
                <c:pt idx="0">
                  <c:v> Türkiye Endeks</c:v>
                </c:pt>
              </c:strCache>
            </c:strRef>
          </c:tx>
          <c:marker>
            <c:symbol val="none"/>
          </c:marker>
          <c:dLbls>
            <c:dLbl>
              <c:idx val="45"/>
              <c:layout>
                <c:manualLayout>
                  <c:x val="-1.3266845081898763E-16"/>
                  <c:y val="4.0133779264214048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İstihdam.xlsx]4b_Tarım'!$A$2:$A$47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İstihdam.xlsx]4b_Tarım'!$E$2:$E$47</c:f>
              <c:numCache>
                <c:formatCode>0.0</c:formatCode>
                <c:ptCount val="46"/>
                <c:pt idx="0">
                  <c:v>100</c:v>
                </c:pt>
                <c:pt idx="1">
                  <c:v>100.56190179445208</c:v>
                </c:pt>
                <c:pt idx="2">
                  <c:v>101.19656469287177</c:v>
                </c:pt>
                <c:pt idx="3">
                  <c:v>101.28872290658222</c:v>
                </c:pt>
                <c:pt idx="4">
                  <c:v>100.4471867608144</c:v>
                </c:pt>
                <c:pt idx="5">
                  <c:v>100.55022842071547</c:v>
                </c:pt>
                <c:pt idx="6">
                  <c:v>100.18256103287406</c:v>
                </c:pt>
                <c:pt idx="7">
                  <c:v>100.43867309726208</c:v>
                </c:pt>
                <c:pt idx="8">
                  <c:v>101.33102791516177</c:v>
                </c:pt>
                <c:pt idx="9">
                  <c:v>91.876121806827541</c:v>
                </c:pt>
                <c:pt idx="10">
                  <c:v>92.512013481430188</c:v>
                </c:pt>
                <c:pt idx="11">
                  <c:v>93.139918110844278</c:v>
                </c:pt>
                <c:pt idx="12">
                  <c:v>93.371805730485406</c:v>
                </c:pt>
                <c:pt idx="13">
                  <c:v>94.084144837604015</c:v>
                </c:pt>
                <c:pt idx="14">
                  <c:v>90.176373267096338</c:v>
                </c:pt>
                <c:pt idx="15">
                  <c:v>90.656912524301248</c:v>
                </c:pt>
                <c:pt idx="16">
                  <c:v>90.759866414474928</c:v>
                </c:pt>
                <c:pt idx="17">
                  <c:v>91.233735172401552</c:v>
                </c:pt>
                <c:pt idx="18">
                  <c:v>91.391369602710327</c:v>
                </c:pt>
                <c:pt idx="19">
                  <c:v>91.14087480087241</c:v>
                </c:pt>
                <c:pt idx="20">
                  <c:v>92.239664017483719</c:v>
                </c:pt>
                <c:pt idx="21">
                  <c:v>93.527245917610557</c:v>
                </c:pt>
                <c:pt idx="22">
                  <c:v>94.481829472196765</c:v>
                </c:pt>
                <c:pt idx="23">
                  <c:v>95.341270642342835</c:v>
                </c:pt>
                <c:pt idx="24">
                  <c:v>95.860253040123936</c:v>
                </c:pt>
                <c:pt idx="25">
                  <c:v>96.690466891064588</c:v>
                </c:pt>
                <c:pt idx="26">
                  <c:v>97.74326477054808</c:v>
                </c:pt>
                <c:pt idx="27">
                  <c:v>98.812387819317209</c:v>
                </c:pt>
                <c:pt idx="28">
                  <c:v>100.22258402854271</c:v>
                </c:pt>
                <c:pt idx="29">
                  <c:v>101.16329996620871</c:v>
                </c:pt>
                <c:pt idx="30">
                  <c:v>104.08620742619664</c:v>
                </c:pt>
                <c:pt idx="31">
                  <c:v>105.88776884964605</c:v>
                </c:pt>
                <c:pt idx="32">
                  <c:v>104.83760406198304</c:v>
                </c:pt>
                <c:pt idx="33">
                  <c:v>103.71274723635064</c:v>
                </c:pt>
                <c:pt idx="34">
                  <c:v>102.45281280033704</c:v>
                </c:pt>
                <c:pt idx="35">
                  <c:v>101.68456437690077</c:v>
                </c:pt>
                <c:pt idx="36">
                  <c:v>101.53763785332801</c:v>
                </c:pt>
                <c:pt idx="37">
                  <c:v>100.85057642768423</c:v>
                </c:pt>
                <c:pt idx="38">
                  <c:v>99.618377225511054</c:v>
                </c:pt>
                <c:pt idx="39">
                  <c:v>101.02049861982097</c:v>
                </c:pt>
                <c:pt idx="40">
                  <c:v>99.707814577674014</c:v>
                </c:pt>
                <c:pt idx="41">
                  <c:v>99.247374588030866</c:v>
                </c:pt>
                <c:pt idx="42">
                  <c:v>97.611610179533002</c:v>
                </c:pt>
                <c:pt idx="43">
                  <c:v>96.827563205174926</c:v>
                </c:pt>
                <c:pt idx="44">
                  <c:v>96.539327420579369</c:v>
                </c:pt>
                <c:pt idx="45">
                  <c:v>96.640174837296797</c:v>
                </c:pt>
              </c:numCache>
            </c:numRef>
          </c:val>
          <c:smooth val="1"/>
        </c:ser>
        <c:ser>
          <c:idx val="1"/>
          <c:order val="1"/>
          <c:tx>
            <c:strRef>
              <c:f>'[Konya İstihdam.xlsx]4b_Tarım'!$I$1</c:f>
              <c:strCache>
                <c:ptCount val="1"/>
                <c:pt idx="0">
                  <c:v> Konya Endeks </c:v>
                </c:pt>
              </c:strCache>
            </c:strRef>
          </c:tx>
          <c:marker>
            <c:symbol val="none"/>
          </c:marker>
          <c:dLbls>
            <c:dLbl>
              <c:idx val="45"/>
              <c:layout>
                <c:manualLayout>
                  <c:x val="0"/>
                  <c:y val="-4.0133779264214069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İstihdam.xlsx]4b_Tarım'!$A$2:$A$47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İstihdam.xlsx]4b_Tarım'!$I$2:$I$47</c:f>
              <c:numCache>
                <c:formatCode>0.0</c:formatCode>
                <c:ptCount val="46"/>
                <c:pt idx="0">
                  <c:v>100</c:v>
                </c:pt>
                <c:pt idx="1">
                  <c:v>99.94466076161595</c:v>
                </c:pt>
                <c:pt idx="2">
                  <c:v>101.02256080763343</c:v>
                </c:pt>
                <c:pt idx="3">
                  <c:v>99.766387870083236</c:v>
                </c:pt>
                <c:pt idx="4">
                  <c:v>100.05454074247275</c:v>
                </c:pt>
                <c:pt idx="5">
                  <c:v>99.790741995382277</c:v>
                </c:pt>
                <c:pt idx="6">
                  <c:v>99.576866601363605</c:v>
                </c:pt>
                <c:pt idx="7">
                  <c:v>99.761596894614684</c:v>
                </c:pt>
                <c:pt idx="8">
                  <c:v>100.12336761831757</c:v>
                </c:pt>
                <c:pt idx="9">
                  <c:v>99.314664846095994</c:v>
                </c:pt>
                <c:pt idx="10">
                  <c:v>100.91623934116456</c:v>
                </c:pt>
                <c:pt idx="11">
                  <c:v>100.37954593703576</c:v>
                </c:pt>
                <c:pt idx="12">
                  <c:v>100.65954026424313</c:v>
                </c:pt>
                <c:pt idx="13">
                  <c:v>93.842138399824506</c:v>
                </c:pt>
                <c:pt idx="14">
                  <c:v>94.56309341482158</c:v>
                </c:pt>
                <c:pt idx="15">
                  <c:v>100.76285869174082</c:v>
                </c:pt>
                <c:pt idx="16">
                  <c:v>100.805335202508</c:v>
                </c:pt>
                <c:pt idx="17">
                  <c:v>100.4397976611361</c:v>
                </c:pt>
                <c:pt idx="18">
                  <c:v>99.881249771083375</c:v>
                </c:pt>
                <c:pt idx="19">
                  <c:v>93.630398114438535</c:v>
                </c:pt>
                <c:pt idx="20">
                  <c:v>94.088387595470095</c:v>
                </c:pt>
                <c:pt idx="21">
                  <c:v>95.732733697621001</c:v>
                </c:pt>
                <c:pt idx="22">
                  <c:v>96.189438641751408</c:v>
                </c:pt>
                <c:pt idx="23">
                  <c:v>97.219932332678994</c:v>
                </c:pt>
                <c:pt idx="24">
                  <c:v>97.815488772366265</c:v>
                </c:pt>
                <c:pt idx="25">
                  <c:v>98.995301198733259</c:v>
                </c:pt>
                <c:pt idx="26">
                  <c:v>99.54249655995811</c:v>
                </c:pt>
                <c:pt idx="27">
                  <c:v>100.60593688653587</c:v>
                </c:pt>
                <c:pt idx="28">
                  <c:v>100.8371535287184</c:v>
                </c:pt>
                <c:pt idx="29">
                  <c:v>102.84809604725426</c:v>
                </c:pt>
                <c:pt idx="30">
                  <c:v>104.44555655251821</c:v>
                </c:pt>
                <c:pt idx="31">
                  <c:v>106.85885421738627</c:v>
                </c:pt>
                <c:pt idx="32">
                  <c:v>108.01420836681376</c:v>
                </c:pt>
                <c:pt idx="33">
                  <c:v>107.97631452823386</c:v>
                </c:pt>
                <c:pt idx="34">
                  <c:v>106.84797037094127</c:v>
                </c:pt>
                <c:pt idx="35">
                  <c:v>107.10361057284965</c:v>
                </c:pt>
                <c:pt idx="36">
                  <c:v>106.87563999013337</c:v>
                </c:pt>
                <c:pt idx="37">
                  <c:v>106.88989140629184</c:v>
                </c:pt>
                <c:pt idx="38">
                  <c:v>107.10067696830546</c:v>
                </c:pt>
                <c:pt idx="39">
                  <c:v>107.81456703034686</c:v>
                </c:pt>
                <c:pt idx="40">
                  <c:v>107.15537393823904</c:v>
                </c:pt>
                <c:pt idx="41">
                  <c:v>105.7443969455102</c:v>
                </c:pt>
                <c:pt idx="42">
                  <c:v>104.92034916490347</c:v>
                </c:pt>
                <c:pt idx="43">
                  <c:v>102.88251816447998</c:v>
                </c:pt>
                <c:pt idx="44">
                  <c:v>102.60675933732468</c:v>
                </c:pt>
                <c:pt idx="45">
                  <c:v>102.9684779852074</c:v>
                </c:pt>
              </c:numCache>
            </c:numRef>
          </c:val>
          <c:smooth val="1"/>
        </c:ser>
        <c:dLbls>
          <c:showLegendKey val="0"/>
          <c:showVal val="0"/>
          <c:showCatName val="0"/>
          <c:showSerName val="0"/>
          <c:showPercent val="0"/>
          <c:showBubbleSize val="0"/>
        </c:dLbls>
        <c:marker val="1"/>
        <c:smooth val="0"/>
        <c:axId val="155954560"/>
        <c:axId val="155964544"/>
      </c:lineChart>
      <c:dateAx>
        <c:axId val="155954560"/>
        <c:scaling>
          <c:orientation val="minMax"/>
        </c:scaling>
        <c:delete val="0"/>
        <c:axPos val="b"/>
        <c:numFmt formatCode="mmm/yy" sourceLinked="0"/>
        <c:majorTickMark val="out"/>
        <c:minorTickMark val="none"/>
        <c:tickLblPos val="nextTo"/>
        <c:txPr>
          <a:bodyPr rot="-2700000"/>
          <a:lstStyle/>
          <a:p>
            <a:pPr>
              <a:defRPr/>
            </a:pPr>
            <a:endParaRPr lang="tr-TR"/>
          </a:p>
        </c:txPr>
        <c:crossAx val="155964544"/>
        <c:crosses val="autoZero"/>
        <c:auto val="1"/>
        <c:lblOffset val="100"/>
        <c:baseTimeUnit val="months"/>
      </c:dateAx>
      <c:valAx>
        <c:axId val="155964544"/>
        <c:scaling>
          <c:orientation val="minMax"/>
          <c:max val="110"/>
          <c:min val="80"/>
        </c:scaling>
        <c:delete val="0"/>
        <c:axPos val="l"/>
        <c:numFmt formatCode="#,##0.0" sourceLinked="0"/>
        <c:majorTickMark val="out"/>
        <c:minorTickMark val="none"/>
        <c:tickLblPos val="nextTo"/>
        <c:crossAx val="155954560"/>
        <c:crosses val="autoZero"/>
        <c:crossBetween val="between"/>
        <c:majorUnit val="5"/>
      </c:valAx>
    </c:plotArea>
    <c:legend>
      <c:legendPos val="b"/>
      <c:layout>
        <c:manualLayout>
          <c:xMode val="edge"/>
          <c:yMode val="edge"/>
          <c:x val="0.19929435903845424"/>
          <c:y val="0.91620326723373624"/>
          <c:w val="0.60582027940952843"/>
          <c:h val="7.8938192926553089E-2"/>
        </c:manualLayout>
      </c:layout>
      <c:overlay val="1"/>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88681970309191E-2"/>
          <c:y val="4.6435163763960133E-2"/>
          <c:w val="0.89076087711259322"/>
          <c:h val="0.7060588663875238"/>
        </c:manualLayout>
      </c:layout>
      <c:lineChart>
        <c:grouping val="standard"/>
        <c:varyColors val="0"/>
        <c:ser>
          <c:idx val="0"/>
          <c:order val="0"/>
          <c:tx>
            <c:strRef>
              <c:f>'[Konya İstihdam.xlsx]4c_Kamu'!$E$1</c:f>
              <c:strCache>
                <c:ptCount val="1"/>
                <c:pt idx="0">
                  <c:v> Türkiye Endeks</c:v>
                </c:pt>
              </c:strCache>
            </c:strRef>
          </c:tx>
          <c:marker>
            <c:symbol val="none"/>
          </c:marker>
          <c:dLbls>
            <c:dLbl>
              <c:idx val="45"/>
              <c:layout>
                <c:manualLayout>
                  <c:x val="0"/>
                  <c:y val="-5.3511705685618693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İstihdam.xlsx]4c_Kamu'!$A$2:$A$47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İstihdam.xlsx]4c_Kamu'!$E$2:$E$47</c:f>
              <c:numCache>
                <c:formatCode>0.0</c:formatCode>
                <c:ptCount val="46"/>
                <c:pt idx="0">
                  <c:v>100</c:v>
                </c:pt>
                <c:pt idx="1">
                  <c:v>100.7431672595073</c:v>
                </c:pt>
                <c:pt idx="2">
                  <c:v>101.50169757656028</c:v>
                </c:pt>
                <c:pt idx="3">
                  <c:v>101.99410009031998</c:v>
                </c:pt>
                <c:pt idx="4">
                  <c:v>102.10201318001664</c:v>
                </c:pt>
                <c:pt idx="5">
                  <c:v>94.400950196849479</c:v>
                </c:pt>
                <c:pt idx="6">
                  <c:v>94.574940953409794</c:v>
                </c:pt>
                <c:pt idx="7">
                  <c:v>94.783828977782619</c:v>
                </c:pt>
                <c:pt idx="8">
                  <c:v>93.282461789556649</c:v>
                </c:pt>
                <c:pt idx="9">
                  <c:v>93.290473706663889</c:v>
                </c:pt>
                <c:pt idx="10">
                  <c:v>93.285517881649113</c:v>
                </c:pt>
                <c:pt idx="11">
                  <c:v>93.336521580759481</c:v>
                </c:pt>
                <c:pt idx="12">
                  <c:v>93.257476171773789</c:v>
                </c:pt>
                <c:pt idx="13">
                  <c:v>92.914615677835158</c:v>
                </c:pt>
                <c:pt idx="14">
                  <c:v>92.325078993785681</c:v>
                </c:pt>
                <c:pt idx="15">
                  <c:v>91.945297603486878</c:v>
                </c:pt>
                <c:pt idx="16">
                  <c:v>92.172026597912819</c:v>
                </c:pt>
                <c:pt idx="17">
                  <c:v>92.522073038123025</c:v>
                </c:pt>
                <c:pt idx="18">
                  <c:v>92.774531024083998</c:v>
                </c:pt>
                <c:pt idx="19">
                  <c:v>92.690571088625418</c:v>
                </c:pt>
                <c:pt idx="20">
                  <c:v>92.40841945111768</c:v>
                </c:pt>
                <c:pt idx="21">
                  <c:v>92.393634573156859</c:v>
                </c:pt>
                <c:pt idx="22">
                  <c:v>93.139734029131148</c:v>
                </c:pt>
                <c:pt idx="23">
                  <c:v>92.667691696473881</c:v>
                </c:pt>
                <c:pt idx="24">
                  <c:v>92.604504927535515</c:v>
                </c:pt>
                <c:pt idx="25">
                  <c:v>92.669715325021528</c:v>
                </c:pt>
                <c:pt idx="26">
                  <c:v>94.017699729040402</c:v>
                </c:pt>
                <c:pt idx="27">
                  <c:v>94.538309146842309</c:v>
                </c:pt>
                <c:pt idx="28">
                  <c:v>95.022823639120134</c:v>
                </c:pt>
                <c:pt idx="29">
                  <c:v>95.538146843573088</c:v>
                </c:pt>
                <c:pt idx="30">
                  <c:v>95.988424844707197</c:v>
                </c:pt>
                <c:pt idx="31">
                  <c:v>96.529972623196585</c:v>
                </c:pt>
                <c:pt idx="32">
                  <c:v>97.350657245643333</c:v>
                </c:pt>
                <c:pt idx="33">
                  <c:v>98.074125100716813</c:v>
                </c:pt>
                <c:pt idx="34">
                  <c:v>104.13410792878315</c:v>
                </c:pt>
                <c:pt idx="35">
                  <c:v>104.67602739414875</c:v>
                </c:pt>
                <c:pt idx="36">
                  <c:v>105.53003993981977</c:v>
                </c:pt>
                <c:pt idx="37">
                  <c:v>104.28604526402779</c:v>
                </c:pt>
                <c:pt idx="38">
                  <c:v>105.2086133890699</c:v>
                </c:pt>
                <c:pt idx="39">
                  <c:v>105.93451785810896</c:v>
                </c:pt>
                <c:pt idx="40">
                  <c:v>106.37612316546713</c:v>
                </c:pt>
                <c:pt idx="41">
                  <c:v>106.64609173314695</c:v>
                </c:pt>
                <c:pt idx="42">
                  <c:v>106.95360067531387</c:v>
                </c:pt>
                <c:pt idx="43">
                  <c:v>107.47895942542165</c:v>
                </c:pt>
                <c:pt idx="44">
                  <c:v>107.21753965589239</c:v>
                </c:pt>
                <c:pt idx="45">
                  <c:v>107.86526598532342</c:v>
                </c:pt>
              </c:numCache>
            </c:numRef>
          </c:val>
          <c:smooth val="1"/>
        </c:ser>
        <c:ser>
          <c:idx val="1"/>
          <c:order val="1"/>
          <c:tx>
            <c:strRef>
              <c:f>'[Konya İstihdam.xlsx]4c_Kamu'!$I$1</c:f>
              <c:strCache>
                <c:ptCount val="1"/>
                <c:pt idx="0">
                  <c:v> Konya Endeks </c:v>
                </c:pt>
              </c:strCache>
            </c:strRef>
          </c:tx>
          <c:marker>
            <c:symbol val="none"/>
          </c:marker>
          <c:dLbls>
            <c:dLbl>
              <c:idx val="45"/>
              <c:layout>
                <c:manualLayout>
                  <c:x val="0"/>
                  <c:y val="-5.3511705685618763E-2"/>
                </c:manualLayout>
              </c:layout>
              <c:showLegendKey val="0"/>
              <c:showVal val="1"/>
              <c:showCatName val="0"/>
              <c:showSerName val="0"/>
              <c:showPercent val="0"/>
              <c:showBubbleSize val="0"/>
            </c:dLbl>
            <c:showLegendKey val="0"/>
            <c:showVal val="0"/>
            <c:showCatName val="0"/>
            <c:showSerName val="0"/>
            <c:showPercent val="0"/>
            <c:showBubbleSize val="0"/>
          </c:dLbls>
          <c:cat>
            <c:numRef>
              <c:f>'[Konya İstihdam.xlsx]4c_Kamu'!$A$2:$A$47</c:f>
              <c:numCache>
                <c:formatCode>mmm\-yy</c:formatCode>
                <c:ptCount val="46"/>
                <c:pt idx="0">
                  <c:v>39722</c:v>
                </c:pt>
                <c:pt idx="1">
                  <c:v>39753</c:v>
                </c:pt>
                <c:pt idx="2">
                  <c:v>39783</c:v>
                </c:pt>
                <c:pt idx="3">
                  <c:v>39814</c:v>
                </c:pt>
                <c:pt idx="4">
                  <c:v>39845</c:v>
                </c:pt>
                <c:pt idx="5">
                  <c:v>39873</c:v>
                </c:pt>
                <c:pt idx="6">
                  <c:v>39904</c:v>
                </c:pt>
                <c:pt idx="7">
                  <c:v>39934</c:v>
                </c:pt>
                <c:pt idx="8">
                  <c:v>39965</c:v>
                </c:pt>
                <c:pt idx="9">
                  <c:v>39995</c:v>
                </c:pt>
                <c:pt idx="10">
                  <c:v>40026</c:v>
                </c:pt>
                <c:pt idx="11">
                  <c:v>40057</c:v>
                </c:pt>
                <c:pt idx="12">
                  <c:v>40087</c:v>
                </c:pt>
                <c:pt idx="13">
                  <c:v>40118</c:v>
                </c:pt>
                <c:pt idx="14">
                  <c:v>40148</c:v>
                </c:pt>
                <c:pt idx="15">
                  <c:v>40179</c:v>
                </c:pt>
                <c:pt idx="16">
                  <c:v>40210</c:v>
                </c:pt>
                <c:pt idx="17">
                  <c:v>40238</c:v>
                </c:pt>
                <c:pt idx="18">
                  <c:v>40269</c:v>
                </c:pt>
                <c:pt idx="19">
                  <c:v>40299</c:v>
                </c:pt>
                <c:pt idx="20">
                  <c:v>40330</c:v>
                </c:pt>
                <c:pt idx="21">
                  <c:v>40360</c:v>
                </c:pt>
                <c:pt idx="22">
                  <c:v>40391</c:v>
                </c:pt>
                <c:pt idx="23">
                  <c:v>40422</c:v>
                </c:pt>
                <c:pt idx="24">
                  <c:v>40452</c:v>
                </c:pt>
                <c:pt idx="25">
                  <c:v>40483</c:v>
                </c:pt>
                <c:pt idx="26">
                  <c:v>40513</c:v>
                </c:pt>
                <c:pt idx="27">
                  <c:v>40544</c:v>
                </c:pt>
                <c:pt idx="28">
                  <c:v>40575</c:v>
                </c:pt>
                <c:pt idx="29">
                  <c:v>40603</c:v>
                </c:pt>
                <c:pt idx="30">
                  <c:v>40634</c:v>
                </c:pt>
                <c:pt idx="31">
                  <c:v>40664</c:v>
                </c:pt>
                <c:pt idx="32">
                  <c:v>40695</c:v>
                </c:pt>
                <c:pt idx="33">
                  <c:v>40725</c:v>
                </c:pt>
                <c:pt idx="34">
                  <c:v>40756</c:v>
                </c:pt>
                <c:pt idx="35">
                  <c:v>40787</c:v>
                </c:pt>
                <c:pt idx="36">
                  <c:v>40817</c:v>
                </c:pt>
                <c:pt idx="37">
                  <c:v>40848</c:v>
                </c:pt>
                <c:pt idx="38">
                  <c:v>40878</c:v>
                </c:pt>
                <c:pt idx="39">
                  <c:v>40909</c:v>
                </c:pt>
                <c:pt idx="40">
                  <c:v>40940</c:v>
                </c:pt>
                <c:pt idx="41">
                  <c:v>40969</c:v>
                </c:pt>
                <c:pt idx="42">
                  <c:v>41000</c:v>
                </c:pt>
                <c:pt idx="43">
                  <c:v>41030</c:v>
                </c:pt>
                <c:pt idx="44">
                  <c:v>41061</c:v>
                </c:pt>
                <c:pt idx="45">
                  <c:v>41091</c:v>
                </c:pt>
              </c:numCache>
            </c:numRef>
          </c:cat>
          <c:val>
            <c:numRef>
              <c:f>'[Konya İstihdam.xlsx]4c_Kamu'!$I$2:$I$47</c:f>
              <c:numCache>
                <c:formatCode>0.0</c:formatCode>
                <c:ptCount val="46"/>
                <c:pt idx="0">
                  <c:v>100</c:v>
                </c:pt>
                <c:pt idx="1">
                  <c:v>101.10241503308463</c:v>
                </c:pt>
                <c:pt idx="2">
                  <c:v>101.75823950545728</c:v>
                </c:pt>
                <c:pt idx="3">
                  <c:v>102.04612017112191</c:v>
                </c:pt>
                <c:pt idx="4">
                  <c:v>102.07256560807269</c:v>
                </c:pt>
                <c:pt idx="5">
                  <c:v>105.85936954003763</c:v>
                </c:pt>
                <c:pt idx="6">
                  <c:v>105.39598733824531</c:v>
                </c:pt>
                <c:pt idx="7">
                  <c:v>105.53591146835539</c:v>
                </c:pt>
                <c:pt idx="8">
                  <c:v>105.02139023978867</c:v>
                </c:pt>
                <c:pt idx="9">
                  <c:v>104.80691942341866</c:v>
                </c:pt>
                <c:pt idx="10">
                  <c:v>104.74569795732762</c:v>
                </c:pt>
                <c:pt idx="11">
                  <c:v>105.07046059601933</c:v>
                </c:pt>
                <c:pt idx="12">
                  <c:v>105.05693037246309</c:v>
                </c:pt>
                <c:pt idx="13">
                  <c:v>104.55284567997293</c:v>
                </c:pt>
                <c:pt idx="14">
                  <c:v>104.39204847771005</c:v>
                </c:pt>
                <c:pt idx="15">
                  <c:v>103.95481352612347</c:v>
                </c:pt>
                <c:pt idx="16">
                  <c:v>104.11943124605718</c:v>
                </c:pt>
                <c:pt idx="17">
                  <c:v>103.52426913962873</c:v>
                </c:pt>
                <c:pt idx="18">
                  <c:v>104.67051762423438</c:v>
                </c:pt>
                <c:pt idx="19">
                  <c:v>104.60070465255176</c:v>
                </c:pt>
                <c:pt idx="20">
                  <c:v>104.71748203657818</c:v>
                </c:pt>
                <c:pt idx="21">
                  <c:v>104.78252402034015</c:v>
                </c:pt>
                <c:pt idx="22">
                  <c:v>105.15089647049386</c:v>
                </c:pt>
                <c:pt idx="23">
                  <c:v>105.07873527819413</c:v>
                </c:pt>
                <c:pt idx="24">
                  <c:v>105.0105250602664</c:v>
                </c:pt>
                <c:pt idx="25">
                  <c:v>105.85579129909715</c:v>
                </c:pt>
                <c:pt idx="26">
                  <c:v>106.24373225439425</c:v>
                </c:pt>
                <c:pt idx="27">
                  <c:v>106.8984385264728</c:v>
                </c:pt>
                <c:pt idx="28">
                  <c:v>107.56011491371686</c:v>
                </c:pt>
                <c:pt idx="29">
                  <c:v>108.56908567557468</c:v>
                </c:pt>
                <c:pt idx="30">
                  <c:v>108.10178977275363</c:v>
                </c:pt>
                <c:pt idx="31">
                  <c:v>108.30791136026269</c:v>
                </c:pt>
                <c:pt idx="32">
                  <c:v>108.59704068292226</c:v>
                </c:pt>
                <c:pt idx="33">
                  <c:v>111.38050212784189</c:v>
                </c:pt>
                <c:pt idx="34">
                  <c:v>117.93884003492511</c:v>
                </c:pt>
                <c:pt idx="35">
                  <c:v>118.38610151581368</c:v>
                </c:pt>
                <c:pt idx="36">
                  <c:v>119.26213689939831</c:v>
                </c:pt>
                <c:pt idx="37">
                  <c:v>118.79157957905349</c:v>
                </c:pt>
                <c:pt idx="38">
                  <c:v>118.99863300014077</c:v>
                </c:pt>
                <c:pt idx="39">
                  <c:v>119.66569538546695</c:v>
                </c:pt>
                <c:pt idx="40">
                  <c:v>119.94507772889793</c:v>
                </c:pt>
                <c:pt idx="41">
                  <c:v>120.29289393031567</c:v>
                </c:pt>
                <c:pt idx="42">
                  <c:v>120.06591790732541</c:v>
                </c:pt>
                <c:pt idx="43">
                  <c:v>120.1499133860689</c:v>
                </c:pt>
                <c:pt idx="44">
                  <c:v>120.91133323952874</c:v>
                </c:pt>
                <c:pt idx="45">
                  <c:v>121.57485465725763</c:v>
                </c:pt>
              </c:numCache>
            </c:numRef>
          </c:val>
          <c:smooth val="1"/>
        </c:ser>
        <c:dLbls>
          <c:showLegendKey val="0"/>
          <c:showVal val="0"/>
          <c:showCatName val="0"/>
          <c:showSerName val="0"/>
          <c:showPercent val="0"/>
          <c:showBubbleSize val="0"/>
        </c:dLbls>
        <c:marker val="1"/>
        <c:smooth val="0"/>
        <c:axId val="156013312"/>
        <c:axId val="156014848"/>
      </c:lineChart>
      <c:dateAx>
        <c:axId val="156013312"/>
        <c:scaling>
          <c:orientation val="minMax"/>
        </c:scaling>
        <c:delete val="0"/>
        <c:axPos val="b"/>
        <c:numFmt formatCode="mmm/yy" sourceLinked="0"/>
        <c:majorTickMark val="out"/>
        <c:minorTickMark val="none"/>
        <c:tickLblPos val="nextTo"/>
        <c:txPr>
          <a:bodyPr rot="-2700000"/>
          <a:lstStyle/>
          <a:p>
            <a:pPr>
              <a:defRPr/>
            </a:pPr>
            <a:endParaRPr lang="tr-TR"/>
          </a:p>
        </c:txPr>
        <c:crossAx val="156014848"/>
        <c:crosses val="autoZero"/>
        <c:auto val="1"/>
        <c:lblOffset val="100"/>
        <c:baseTimeUnit val="months"/>
      </c:dateAx>
      <c:valAx>
        <c:axId val="156014848"/>
        <c:scaling>
          <c:orientation val="minMax"/>
          <c:max val="130"/>
          <c:min val="90"/>
        </c:scaling>
        <c:delete val="0"/>
        <c:axPos val="l"/>
        <c:numFmt formatCode="#,##0.0" sourceLinked="0"/>
        <c:majorTickMark val="out"/>
        <c:minorTickMark val="none"/>
        <c:tickLblPos val="nextTo"/>
        <c:crossAx val="156013312"/>
        <c:crosses val="autoZero"/>
        <c:crossBetween val="between"/>
        <c:majorUnit val="5"/>
      </c:valAx>
    </c:plotArea>
    <c:legend>
      <c:legendPos val="b"/>
      <c:layout>
        <c:manualLayout>
          <c:xMode val="edge"/>
          <c:yMode val="edge"/>
          <c:x val="0.19929435903845424"/>
          <c:y val="0.92066257604087165"/>
          <c:w val="0.60582027940952876"/>
          <c:h val="7.4478884119418276E-2"/>
        </c:manualLayout>
      </c:layout>
      <c:overlay val="1"/>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0.0807</cdr:x>
      <cdr:y>0.58678</cdr:y>
    </cdr:from>
    <cdr:to>
      <cdr:x>0.9742</cdr:x>
      <cdr:y>0.58704</cdr:y>
    </cdr:to>
    <cdr:sp macro="" textlink="">
      <cdr:nvSpPr>
        <cdr:cNvPr id="3" name="2 Düz Bağlayıcı"/>
        <cdr:cNvSpPr/>
      </cdr:nvSpPr>
      <cdr:spPr>
        <a:xfrm xmlns:a="http://schemas.openxmlformats.org/drawingml/2006/main">
          <a:off x="464872" y="1629764"/>
          <a:ext cx="5147203" cy="72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2.xml><?xml version="1.0" encoding="utf-8"?>
<c:userShapes xmlns:c="http://schemas.openxmlformats.org/drawingml/2006/chart">
  <cdr:relSizeAnchor xmlns:cdr="http://schemas.openxmlformats.org/drawingml/2006/chartDrawing">
    <cdr:from>
      <cdr:x>0.08534</cdr:x>
      <cdr:y>0.6823</cdr:y>
    </cdr:from>
    <cdr:to>
      <cdr:x>0.97884</cdr:x>
      <cdr:y>0.68256</cdr:y>
    </cdr:to>
    <cdr:sp macro="" textlink="">
      <cdr:nvSpPr>
        <cdr:cNvPr id="3" name="2 Düz Bağlayıcı"/>
        <cdr:cNvSpPr/>
      </cdr:nvSpPr>
      <cdr:spPr>
        <a:xfrm xmlns:a="http://schemas.openxmlformats.org/drawingml/2006/main">
          <a:off x="491818" y="1791877"/>
          <a:ext cx="5149103" cy="68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3.xml><?xml version="1.0" encoding="utf-8"?>
<c:userShapes xmlns:c="http://schemas.openxmlformats.org/drawingml/2006/chart">
  <cdr:relSizeAnchor xmlns:cdr="http://schemas.openxmlformats.org/drawingml/2006/chartDrawing">
    <cdr:from>
      <cdr:x>0.08066</cdr:x>
      <cdr:y>0.62027</cdr:y>
    </cdr:from>
    <cdr:to>
      <cdr:x>0.97416</cdr:x>
      <cdr:y>0.62053</cdr:y>
    </cdr:to>
    <cdr:sp macro="" textlink="">
      <cdr:nvSpPr>
        <cdr:cNvPr id="3" name="2 Düz Bağlayıcı"/>
        <cdr:cNvSpPr/>
      </cdr:nvSpPr>
      <cdr:spPr>
        <a:xfrm xmlns:a="http://schemas.openxmlformats.org/drawingml/2006/main">
          <a:off x="464660" y="1519912"/>
          <a:ext cx="5147203" cy="63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4.xml><?xml version="1.0" encoding="utf-8"?>
<c:userShapes xmlns:c="http://schemas.openxmlformats.org/drawingml/2006/chart">
  <cdr:relSizeAnchor xmlns:cdr="http://schemas.openxmlformats.org/drawingml/2006/chartDrawing">
    <cdr:from>
      <cdr:x>0.08369</cdr:x>
      <cdr:y>0.39773</cdr:y>
    </cdr:from>
    <cdr:to>
      <cdr:x>0.97719</cdr:x>
      <cdr:y>0.39799</cdr:y>
    </cdr:to>
    <cdr:sp macro="" textlink="">
      <cdr:nvSpPr>
        <cdr:cNvPr id="3" name="2 Düz Bağlayıcı"/>
        <cdr:cNvSpPr/>
      </cdr:nvSpPr>
      <cdr:spPr>
        <a:xfrm xmlns:a="http://schemas.openxmlformats.org/drawingml/2006/main">
          <a:off x="562786" y="1132732"/>
          <a:ext cx="6008475" cy="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5.xml><?xml version="1.0" encoding="utf-8"?>
<c:userShapes xmlns:c="http://schemas.openxmlformats.org/drawingml/2006/chart">
  <cdr:relSizeAnchor xmlns:cdr="http://schemas.openxmlformats.org/drawingml/2006/chartDrawing">
    <cdr:from>
      <cdr:x>0.08086</cdr:x>
      <cdr:y>0.28067</cdr:y>
    </cdr:from>
    <cdr:to>
      <cdr:x>0.97436</cdr:x>
      <cdr:y>0.28093</cdr:y>
    </cdr:to>
    <cdr:sp macro="" textlink="">
      <cdr:nvSpPr>
        <cdr:cNvPr id="3" name="2 Düz Bağlayıcı"/>
        <cdr:cNvSpPr/>
      </cdr:nvSpPr>
      <cdr:spPr>
        <a:xfrm xmlns:a="http://schemas.openxmlformats.org/drawingml/2006/main">
          <a:off x="543736" y="799350"/>
          <a:ext cx="6008475" cy="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drawings/drawing6.xml><?xml version="1.0" encoding="utf-8"?>
<c:userShapes xmlns:c="http://schemas.openxmlformats.org/drawingml/2006/chart">
  <cdr:relSizeAnchor xmlns:cdr="http://schemas.openxmlformats.org/drawingml/2006/chartDrawing">
    <cdr:from>
      <cdr:x>0.07944</cdr:x>
      <cdr:y>0.57498</cdr:y>
    </cdr:from>
    <cdr:to>
      <cdr:x>0.97294</cdr:x>
      <cdr:y>0.57524</cdr:y>
    </cdr:to>
    <cdr:sp macro="" textlink="">
      <cdr:nvSpPr>
        <cdr:cNvPr id="3" name="2 Düz Bağlayıcı"/>
        <cdr:cNvSpPr/>
      </cdr:nvSpPr>
      <cdr:spPr>
        <a:xfrm xmlns:a="http://schemas.openxmlformats.org/drawingml/2006/main">
          <a:off x="534230" y="1637541"/>
          <a:ext cx="6008475" cy="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0FA22-709C-4683-A1FE-2B47AA52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4199</Words>
  <Characters>23935</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BASIN02</dc:creator>
  <cp:lastModifiedBy>BASIN03</cp:lastModifiedBy>
  <cp:revision>42</cp:revision>
  <cp:lastPrinted>2012-06-04T08:41:00Z</cp:lastPrinted>
  <dcterms:created xsi:type="dcterms:W3CDTF">2012-06-29T13:37:00Z</dcterms:created>
  <dcterms:modified xsi:type="dcterms:W3CDTF">2012-11-08T10:47:00Z</dcterms:modified>
</cp:coreProperties>
</file>