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3B3" w:rsidRDefault="00F363B3" w:rsidP="004F3DA9">
      <w:pPr>
        <w:shd w:val="clear" w:color="auto" w:fill="FFFFFF"/>
        <w:spacing w:after="150" w:line="240" w:lineRule="auto"/>
        <w:rPr>
          <w:rFonts w:cstheme="minorHAnsi"/>
          <w:b/>
          <w:sz w:val="28"/>
          <w:szCs w:val="28"/>
        </w:rPr>
      </w:pPr>
    </w:p>
    <w:p w:rsidR="002925DE" w:rsidRPr="00662624" w:rsidRDefault="002925DE" w:rsidP="002925DE">
      <w:pPr>
        <w:shd w:val="clear" w:color="auto" w:fill="FFFFFF"/>
        <w:spacing w:after="150" w:line="240" w:lineRule="auto"/>
        <w:jc w:val="center"/>
        <w:rPr>
          <w:rFonts w:cstheme="minorHAnsi"/>
          <w:b/>
          <w:sz w:val="28"/>
          <w:szCs w:val="28"/>
        </w:rPr>
      </w:pPr>
      <w:r w:rsidRPr="00662624">
        <w:rPr>
          <w:rFonts w:cstheme="minorHAnsi"/>
          <w:b/>
          <w:sz w:val="28"/>
          <w:szCs w:val="28"/>
        </w:rPr>
        <w:t>KAPASİTE GELİŞTİRME DESTEK PROGRAMI</w:t>
      </w:r>
    </w:p>
    <w:p w:rsidR="00F3580A" w:rsidRPr="00662624" w:rsidRDefault="00F3580A" w:rsidP="002925DE">
      <w:pPr>
        <w:shd w:val="clear" w:color="auto" w:fill="FFFFFF"/>
        <w:spacing w:after="150" w:line="240" w:lineRule="auto"/>
        <w:jc w:val="center"/>
        <w:rPr>
          <w:rFonts w:cstheme="minorHAnsi"/>
        </w:rPr>
      </w:pPr>
    </w:p>
    <w:p w:rsidR="00F3580A" w:rsidRPr="00F3580A" w:rsidRDefault="00F3580A" w:rsidP="00F3580A">
      <w:pPr>
        <w:shd w:val="clear" w:color="auto" w:fill="0BBBEF"/>
        <w:spacing w:after="0" w:line="240" w:lineRule="auto"/>
        <w:outlineLvl w:val="3"/>
        <w:rPr>
          <w:rFonts w:eastAsia="Times New Roman" w:cstheme="minorHAnsi"/>
          <w:b/>
          <w:color w:val="FFFFFF"/>
          <w:sz w:val="24"/>
          <w:szCs w:val="24"/>
          <w:lang w:eastAsia="tr-TR"/>
        </w:rPr>
      </w:pPr>
      <w:r w:rsidRPr="00F3580A">
        <w:rPr>
          <w:rFonts w:eastAsia="Times New Roman" w:cstheme="minorHAnsi"/>
          <w:b/>
          <w:color w:val="FFFFFF"/>
          <w:sz w:val="24"/>
          <w:szCs w:val="24"/>
          <w:lang w:eastAsia="tr-TR"/>
        </w:rPr>
        <w:t>Programın Amacı</w:t>
      </w:r>
    </w:p>
    <w:p w:rsidR="00F3580A" w:rsidRPr="0064126C" w:rsidRDefault="00F3580A" w:rsidP="00F3580A">
      <w:pPr>
        <w:spacing w:after="150" w:line="240" w:lineRule="auto"/>
        <w:jc w:val="both"/>
        <w:rPr>
          <w:rFonts w:eastAsia="Times New Roman" w:cstheme="minorHAnsi"/>
          <w:b/>
          <w:color w:val="656565"/>
          <w:lang w:eastAsia="tr-TR"/>
        </w:rPr>
      </w:pPr>
      <w:r w:rsidRPr="0064126C">
        <w:rPr>
          <w:rFonts w:eastAsia="Times New Roman" w:cstheme="minorHAnsi"/>
          <w:b/>
          <w:color w:val="656565"/>
          <w:lang w:eastAsia="tr-TR"/>
        </w:rPr>
        <w:t>Program ile KOBİ’lerin verimliliğini, dayanıklılığını, üretimini, pazar büyüklüğünü ve kurumsal kapasitesini artırmaya yönelik ölçek büyütme yatırımlarına ve büyük işletmelerin tedarikçilerinin geliştirilmesine katkı sağlamak amaçlanmaktadır.</w:t>
      </w:r>
    </w:p>
    <w:p w:rsidR="00F3580A" w:rsidRPr="0064126C" w:rsidRDefault="00F3580A" w:rsidP="00F3580A">
      <w:pPr>
        <w:spacing w:after="150" w:line="240" w:lineRule="auto"/>
        <w:jc w:val="both"/>
        <w:rPr>
          <w:rFonts w:eastAsia="Times New Roman" w:cstheme="minorHAnsi"/>
          <w:b/>
          <w:color w:val="656565"/>
          <w:lang w:eastAsia="tr-TR"/>
        </w:rPr>
      </w:pPr>
      <w:r w:rsidRPr="0064126C">
        <w:rPr>
          <w:rFonts w:eastAsia="Times New Roman" w:cstheme="minorHAnsi"/>
          <w:b/>
          <w:color w:val="656565"/>
          <w:lang w:eastAsia="tr-TR"/>
        </w:rPr>
        <w:t>Program kapsamında, işletmelerin makine-teçhizat, kalıp, yazılım, personel, hizmet alımı giderleri ve işletme sermayesi için finansal kuruluşlardan kullanacakları kredinin faiz/kar payı giderlerine finansal kuruluşlarla imzalanan protokol hükümleri kapsamında geri ödemesiz destek sağlanacaktır.</w:t>
      </w:r>
    </w:p>
    <w:p w:rsidR="00F3580A" w:rsidRPr="0064126C" w:rsidRDefault="00F3580A" w:rsidP="00F3580A">
      <w:pPr>
        <w:spacing w:after="150" w:line="240" w:lineRule="auto"/>
        <w:jc w:val="both"/>
        <w:rPr>
          <w:rFonts w:eastAsia="Times New Roman" w:cstheme="minorHAnsi"/>
          <w:b/>
          <w:color w:val="656565"/>
          <w:lang w:eastAsia="tr-TR"/>
        </w:rPr>
      </w:pPr>
      <w:r w:rsidRPr="0064126C">
        <w:rPr>
          <w:rFonts w:eastAsia="Times New Roman" w:cstheme="minorHAnsi"/>
          <w:b/>
          <w:color w:val="656565"/>
          <w:lang w:eastAsia="tr-TR"/>
        </w:rPr>
        <w:t>KOBİ’ler bu destek programından bir kez faydalanabilir.</w:t>
      </w:r>
    </w:p>
    <w:p w:rsidR="00F3580A" w:rsidRPr="0064126C" w:rsidRDefault="00F3580A" w:rsidP="00F3580A">
      <w:pPr>
        <w:spacing w:after="150" w:line="240" w:lineRule="auto"/>
        <w:jc w:val="both"/>
        <w:rPr>
          <w:rFonts w:eastAsia="Times New Roman" w:cstheme="minorHAnsi"/>
          <w:b/>
          <w:color w:val="656565"/>
          <w:lang w:eastAsia="tr-TR"/>
        </w:rPr>
      </w:pPr>
      <w:r w:rsidRPr="0064126C">
        <w:rPr>
          <w:rFonts w:eastAsia="Times New Roman" w:cstheme="minorHAnsi"/>
          <w:b/>
          <w:color w:val="656565"/>
          <w:lang w:eastAsia="tr-TR"/>
        </w:rPr>
        <w:t>NACE kodu;</w:t>
      </w:r>
    </w:p>
    <w:p w:rsidR="00F3580A" w:rsidRPr="0064126C" w:rsidRDefault="00F3580A" w:rsidP="00F3580A">
      <w:pPr>
        <w:numPr>
          <w:ilvl w:val="0"/>
          <w:numId w:val="4"/>
        </w:numPr>
        <w:spacing w:after="0" w:line="360" w:lineRule="atLeast"/>
        <w:ind w:left="0"/>
        <w:jc w:val="both"/>
        <w:rPr>
          <w:rFonts w:eastAsia="Times New Roman" w:cstheme="minorHAnsi"/>
          <w:b/>
          <w:color w:val="656565"/>
          <w:lang w:eastAsia="tr-TR"/>
        </w:rPr>
      </w:pPr>
      <w:r w:rsidRPr="0064126C">
        <w:rPr>
          <w:rFonts w:eastAsia="Times New Roman" w:cstheme="minorHAnsi"/>
          <w:b/>
          <w:color w:val="656565"/>
          <w:lang w:eastAsia="tr-TR"/>
        </w:rPr>
        <w:t>Kısım C – İmalat</w:t>
      </w:r>
    </w:p>
    <w:p w:rsidR="00F3580A" w:rsidRPr="0064126C" w:rsidRDefault="00F3580A" w:rsidP="00F3580A">
      <w:pPr>
        <w:numPr>
          <w:ilvl w:val="0"/>
          <w:numId w:val="4"/>
        </w:numPr>
        <w:spacing w:after="0" w:line="360" w:lineRule="atLeast"/>
        <w:ind w:left="0"/>
        <w:jc w:val="both"/>
        <w:rPr>
          <w:rFonts w:eastAsia="Times New Roman" w:cstheme="minorHAnsi"/>
          <w:b/>
          <w:color w:val="656565"/>
          <w:lang w:eastAsia="tr-TR"/>
        </w:rPr>
      </w:pPr>
      <w:r w:rsidRPr="0064126C">
        <w:rPr>
          <w:rFonts w:eastAsia="Times New Roman" w:cstheme="minorHAnsi"/>
          <w:b/>
          <w:color w:val="656565"/>
          <w:lang w:eastAsia="tr-TR"/>
        </w:rPr>
        <w:t>61 – Telekomünikasyon,</w:t>
      </w:r>
    </w:p>
    <w:p w:rsidR="00F3580A" w:rsidRPr="0064126C" w:rsidRDefault="00F3580A" w:rsidP="00F3580A">
      <w:pPr>
        <w:numPr>
          <w:ilvl w:val="0"/>
          <w:numId w:val="4"/>
        </w:numPr>
        <w:spacing w:after="0" w:line="360" w:lineRule="atLeast"/>
        <w:ind w:left="0"/>
        <w:jc w:val="both"/>
        <w:rPr>
          <w:rFonts w:eastAsia="Times New Roman" w:cstheme="minorHAnsi"/>
          <w:b/>
          <w:color w:val="656565"/>
          <w:lang w:eastAsia="tr-TR"/>
        </w:rPr>
      </w:pPr>
      <w:r w:rsidRPr="0064126C">
        <w:rPr>
          <w:rFonts w:eastAsia="Times New Roman" w:cstheme="minorHAnsi"/>
          <w:b/>
          <w:color w:val="656565"/>
          <w:lang w:eastAsia="tr-TR"/>
        </w:rPr>
        <w:t>62 – Bilgisayar programlama, danışmanlık ve ilgili faaliyetler,</w:t>
      </w:r>
    </w:p>
    <w:p w:rsidR="00F3580A" w:rsidRPr="0064126C" w:rsidRDefault="00F3580A" w:rsidP="00F3580A">
      <w:pPr>
        <w:numPr>
          <w:ilvl w:val="0"/>
          <w:numId w:val="4"/>
        </w:numPr>
        <w:spacing w:after="0" w:line="360" w:lineRule="atLeast"/>
        <w:ind w:left="0"/>
        <w:jc w:val="both"/>
        <w:rPr>
          <w:rFonts w:eastAsia="Times New Roman" w:cstheme="minorHAnsi"/>
          <w:b/>
          <w:color w:val="656565"/>
          <w:lang w:eastAsia="tr-TR"/>
        </w:rPr>
      </w:pPr>
      <w:r w:rsidRPr="0064126C">
        <w:rPr>
          <w:rFonts w:eastAsia="Times New Roman" w:cstheme="minorHAnsi"/>
          <w:b/>
          <w:color w:val="656565"/>
          <w:lang w:eastAsia="tr-TR"/>
        </w:rPr>
        <w:t>63 – Bilişim altyapısı, veri işleme, barındırma ve diğer bilgi hizmeti faaliyetleri,</w:t>
      </w:r>
    </w:p>
    <w:p w:rsidR="00F3580A" w:rsidRPr="0064126C" w:rsidRDefault="00F3580A" w:rsidP="00F3580A">
      <w:pPr>
        <w:numPr>
          <w:ilvl w:val="0"/>
          <w:numId w:val="4"/>
        </w:numPr>
        <w:spacing w:after="0" w:line="360" w:lineRule="atLeast"/>
        <w:ind w:left="0"/>
        <w:jc w:val="both"/>
        <w:rPr>
          <w:rFonts w:eastAsia="Times New Roman" w:cstheme="minorHAnsi"/>
          <w:b/>
          <w:color w:val="656565"/>
          <w:lang w:eastAsia="tr-TR"/>
        </w:rPr>
      </w:pPr>
      <w:r w:rsidRPr="0064126C">
        <w:rPr>
          <w:rFonts w:eastAsia="Times New Roman" w:cstheme="minorHAnsi"/>
          <w:b/>
          <w:color w:val="656565"/>
          <w:lang w:eastAsia="tr-TR"/>
        </w:rPr>
        <w:t>72 – Bilimsel araştırma ve geliştirme faaliyetleri sektörlerinde yer alan işletmeler başvuru koşullarını taşımak kaydıyla programa başvuru yapabilecektir.</w:t>
      </w:r>
    </w:p>
    <w:p w:rsidR="00F3580A" w:rsidRPr="00F3580A" w:rsidRDefault="00F3580A" w:rsidP="00F3580A">
      <w:pPr>
        <w:spacing w:after="150" w:line="240" w:lineRule="auto"/>
        <w:jc w:val="both"/>
        <w:rPr>
          <w:rFonts w:eastAsia="Times New Roman" w:cstheme="minorHAnsi"/>
          <w:color w:val="656565"/>
          <w:lang w:eastAsia="tr-TR"/>
        </w:rPr>
      </w:pPr>
    </w:p>
    <w:p w:rsidR="00F3580A" w:rsidRPr="00662624" w:rsidRDefault="00F3580A" w:rsidP="002925DE">
      <w:pPr>
        <w:shd w:val="clear" w:color="auto" w:fill="FFFFFF"/>
        <w:spacing w:after="150" w:line="240" w:lineRule="auto"/>
        <w:jc w:val="center"/>
        <w:rPr>
          <w:rFonts w:eastAsia="Times New Roman" w:cstheme="minorHAnsi"/>
          <w:b/>
          <w:color w:val="656565"/>
          <w:sz w:val="21"/>
          <w:szCs w:val="21"/>
          <w:lang w:eastAsia="tr-TR"/>
        </w:rPr>
      </w:pPr>
    </w:p>
    <w:p w:rsidR="002925DE" w:rsidRPr="00662624" w:rsidRDefault="002925DE" w:rsidP="006E2DDE">
      <w:pPr>
        <w:shd w:val="clear" w:color="auto" w:fill="FFFFFF"/>
        <w:spacing w:after="150" w:line="240" w:lineRule="auto"/>
        <w:jc w:val="both"/>
        <w:rPr>
          <w:rFonts w:eastAsia="Times New Roman" w:cstheme="minorHAnsi"/>
          <w:color w:val="656565"/>
          <w:sz w:val="21"/>
          <w:szCs w:val="21"/>
          <w:lang w:eastAsia="tr-TR"/>
        </w:rPr>
      </w:pPr>
    </w:p>
    <w:p w:rsidR="00662624" w:rsidRPr="00662624" w:rsidRDefault="00F3580A">
      <w:pPr>
        <w:rPr>
          <w:rFonts w:cstheme="minorHAnsi"/>
          <w:b/>
          <w:sz w:val="24"/>
          <w:szCs w:val="24"/>
        </w:rPr>
      </w:pPr>
      <w:r w:rsidRPr="00662624">
        <w:rPr>
          <w:rFonts w:cstheme="minorHAnsi"/>
          <w:b/>
          <w:sz w:val="24"/>
          <w:szCs w:val="24"/>
        </w:rPr>
        <w:t xml:space="preserve">Programa İlişkin Temel Hususlar </w:t>
      </w:r>
    </w:p>
    <w:p w:rsidR="00662624" w:rsidRPr="00662624" w:rsidRDefault="00F3580A">
      <w:pPr>
        <w:rPr>
          <w:rFonts w:cstheme="minorHAnsi"/>
        </w:rPr>
      </w:pPr>
      <w:r w:rsidRPr="00662624">
        <w:rPr>
          <w:rFonts w:cstheme="minorHAnsi"/>
        </w:rPr>
        <w:t>(1) Destek programı kapsamında işletmelerin makine-teçhizat, kalıp, yazılım, personel ve hizmet alımı giderleri ile işletme sermayesi için finansal kuruluşlardan kullanacakları kredinin faiz/kar payı giderlerine bu uygulama esasları ve finansal kuruluşlarla imzalanan protokol hükümleri kapsamında</w:t>
      </w:r>
      <w:r w:rsidR="00662624" w:rsidRPr="00662624">
        <w:rPr>
          <w:rFonts w:cstheme="minorHAnsi"/>
        </w:rPr>
        <w:t xml:space="preserve"> geri ödemesiz destek sağlanır.</w:t>
      </w:r>
    </w:p>
    <w:p w:rsidR="00662624" w:rsidRPr="00662624" w:rsidRDefault="00F3580A">
      <w:pPr>
        <w:rPr>
          <w:rFonts w:cstheme="minorHAnsi"/>
        </w:rPr>
      </w:pPr>
      <w:r w:rsidRPr="00662624">
        <w:rPr>
          <w:rFonts w:cstheme="minorHAnsi"/>
        </w:rPr>
        <w:t xml:space="preserve"> (2) Krediye ilişkin hususlar, finansal kuruluşlarla imzalanan protokolde belirlenir. </w:t>
      </w:r>
    </w:p>
    <w:p w:rsidR="00662624" w:rsidRPr="00662624" w:rsidRDefault="00F3580A">
      <w:pPr>
        <w:rPr>
          <w:rFonts w:cstheme="minorHAnsi"/>
        </w:rPr>
      </w:pPr>
      <w:r w:rsidRPr="00662624">
        <w:rPr>
          <w:rFonts w:cstheme="minorHAnsi"/>
        </w:rPr>
        <w:t>(3) Destekleme kararı alınan işletmelerin kefalet şirketlerinden kefalet kullanmaları sağlanır. Kefalet kullanımına ilişkin hususlar, kefalet şirketleri ile imzalanan protokolde belirlenir.</w:t>
      </w:r>
    </w:p>
    <w:p w:rsidR="00662624" w:rsidRPr="00662624" w:rsidRDefault="00F3580A">
      <w:pPr>
        <w:rPr>
          <w:rFonts w:cstheme="minorHAnsi"/>
        </w:rPr>
      </w:pPr>
      <w:r w:rsidRPr="00662624">
        <w:rPr>
          <w:rFonts w:cstheme="minorHAnsi"/>
        </w:rPr>
        <w:t xml:space="preserve"> (4) İşletmeler bu destek programından bir kez faydalanabilir.</w:t>
      </w:r>
    </w:p>
    <w:p w:rsidR="00662624" w:rsidRPr="00662624" w:rsidRDefault="00F3580A">
      <w:pPr>
        <w:rPr>
          <w:rFonts w:cstheme="minorHAnsi"/>
        </w:rPr>
      </w:pPr>
      <w:r w:rsidRPr="00662624">
        <w:rPr>
          <w:rFonts w:cstheme="minorHAnsi"/>
        </w:rPr>
        <w:t xml:space="preserve"> (5) İşletmelerin YODA (Yalın Olgunluk Değerlendirme Analizi) Raporu’nda ortaya çıkan ihtiyacına uygun Model Fabrika hizmetlerine proje süresi içerisinde başlaması zorunlu tutulacaktır. Model fabrika hizmetinin alınması Model Fabrika ile yapılacak sözleşme ile başlar. Sözleşme proje bitiş tarihinden önce yapılmış olmalıdır.</w:t>
      </w:r>
    </w:p>
    <w:p w:rsidR="00662624" w:rsidRPr="00662624" w:rsidRDefault="00F3580A">
      <w:pPr>
        <w:rPr>
          <w:rFonts w:cstheme="minorHAnsi"/>
        </w:rPr>
      </w:pPr>
      <w:r w:rsidRPr="00662624">
        <w:rPr>
          <w:rFonts w:cstheme="minorHAnsi"/>
        </w:rPr>
        <w:t xml:space="preserve">(6) Model Fabrikadan proje başlamadan önce eğitim, danışmanlık, öğren - dönüş hizmetlerinden herhangi birini alan veya bu hizmeti devam etmekte olan işletmeler, alınan hizmeti proje başvurusu </w:t>
      </w:r>
      <w:r w:rsidRPr="00662624">
        <w:rPr>
          <w:rFonts w:cstheme="minorHAnsi"/>
        </w:rPr>
        <w:lastRenderedPageBreak/>
        <w:t>veya proje süresi içinde sözleşme veya fatura ya da Model Fabrikadan alınacak yazı ile belgelendirmek kaydıyla “hizmetin proje süresi içinde</w:t>
      </w:r>
      <w:r w:rsidR="00662624" w:rsidRPr="00662624">
        <w:rPr>
          <w:rFonts w:cstheme="minorHAnsi"/>
        </w:rPr>
        <w:t xml:space="preserve"> başlaması” şartından muaftır.</w:t>
      </w:r>
    </w:p>
    <w:p w:rsidR="00662624" w:rsidRPr="00662624" w:rsidRDefault="00F3580A">
      <w:pPr>
        <w:rPr>
          <w:rFonts w:cstheme="minorHAnsi"/>
          <w:b/>
          <w:sz w:val="24"/>
          <w:szCs w:val="24"/>
        </w:rPr>
      </w:pPr>
      <w:r w:rsidRPr="00662624">
        <w:rPr>
          <w:rFonts w:cstheme="minorHAnsi"/>
          <w:b/>
          <w:sz w:val="24"/>
          <w:szCs w:val="24"/>
        </w:rPr>
        <w:t xml:space="preserve">Proje süresi, azami kredi tutarı ve destek puanı </w:t>
      </w:r>
    </w:p>
    <w:p w:rsidR="00662624" w:rsidRPr="00662624" w:rsidRDefault="00F3580A">
      <w:pPr>
        <w:rPr>
          <w:rFonts w:cstheme="minorHAnsi"/>
        </w:rPr>
      </w:pPr>
      <w:r w:rsidRPr="00662624">
        <w:rPr>
          <w:rFonts w:cstheme="minorHAnsi"/>
        </w:rPr>
        <w:t xml:space="preserve">(1) Proje süresi 24 aydır. </w:t>
      </w:r>
    </w:p>
    <w:p w:rsidR="00662624" w:rsidRPr="00662624" w:rsidRDefault="00F3580A">
      <w:pPr>
        <w:rPr>
          <w:rFonts w:cstheme="minorHAnsi"/>
        </w:rPr>
      </w:pPr>
      <w:r w:rsidRPr="00662624">
        <w:rPr>
          <w:rFonts w:cstheme="minorHAnsi"/>
        </w:rPr>
        <w:t xml:space="preserve">(2) İşletmenin talep etmesi halinde, toplam proje süresi 30 ayı geçmemek kaydıyla Kurul kararı ile 3 ay veya 6 ay ek süre verilebilir. </w:t>
      </w:r>
    </w:p>
    <w:p w:rsidR="00662624" w:rsidRPr="00662624" w:rsidRDefault="00F3580A">
      <w:pPr>
        <w:rPr>
          <w:rFonts w:cstheme="minorHAnsi"/>
        </w:rPr>
      </w:pPr>
      <w:r w:rsidRPr="00662624">
        <w:rPr>
          <w:rFonts w:cstheme="minorHAnsi"/>
        </w:rPr>
        <w:t>(3) Destek süresi, en fazla proje süresi ile desteklenecek kredi vadesi süresinin toplamı kadardır.</w:t>
      </w:r>
    </w:p>
    <w:p w:rsidR="00D20876" w:rsidRDefault="00F3580A">
      <w:pPr>
        <w:rPr>
          <w:rFonts w:cstheme="minorHAnsi"/>
        </w:rPr>
      </w:pPr>
      <w:r w:rsidRPr="00662624">
        <w:rPr>
          <w:rFonts w:cstheme="minorHAnsi"/>
        </w:rPr>
        <w:t xml:space="preserve"> (4) Program kapsamında kurul kararı ile belirlenen toplam kredi </w:t>
      </w:r>
      <w:proofErr w:type="spellStart"/>
      <w:r w:rsidRPr="00662624">
        <w:rPr>
          <w:rFonts w:cstheme="minorHAnsi"/>
        </w:rPr>
        <w:t>kullandırımına</w:t>
      </w:r>
      <w:proofErr w:type="spellEnd"/>
      <w:r w:rsidRPr="00662624">
        <w:rPr>
          <w:rFonts w:cstheme="minorHAnsi"/>
        </w:rPr>
        <w:t xml:space="preserve"> esas tutar üzerinden kullanılacak kredinin alt/üst limiti ile kredi vadesi aşağıdaki gibidir:</w:t>
      </w:r>
    </w:p>
    <w:p w:rsidR="00D20876" w:rsidRPr="00337922" w:rsidRDefault="00F3580A">
      <w:pPr>
        <w:rPr>
          <w:rFonts w:cstheme="minorHAnsi"/>
          <w:b/>
          <w:sz w:val="28"/>
          <w:szCs w:val="28"/>
        </w:rPr>
      </w:pPr>
      <w:r w:rsidRPr="00337922">
        <w:rPr>
          <w:rFonts w:cstheme="minorHAnsi"/>
          <w:b/>
          <w:sz w:val="28"/>
          <w:szCs w:val="28"/>
        </w:rPr>
        <w:t xml:space="preserve"> İşletme Başına Kredi Alt </w:t>
      </w:r>
      <w:proofErr w:type="gramStart"/>
      <w:r w:rsidRPr="00337922">
        <w:rPr>
          <w:rFonts w:cstheme="minorHAnsi"/>
          <w:b/>
          <w:sz w:val="28"/>
          <w:szCs w:val="28"/>
        </w:rPr>
        <w:t xml:space="preserve">Limiti </w:t>
      </w:r>
      <w:r w:rsidR="00D20876" w:rsidRPr="00337922">
        <w:rPr>
          <w:rFonts w:cstheme="minorHAnsi"/>
          <w:b/>
          <w:sz w:val="28"/>
          <w:szCs w:val="28"/>
        </w:rPr>
        <w:t>: 1</w:t>
      </w:r>
      <w:proofErr w:type="gramEnd"/>
      <w:r w:rsidR="00D20876" w:rsidRPr="00337922">
        <w:rPr>
          <w:rFonts w:cstheme="minorHAnsi"/>
          <w:b/>
          <w:sz w:val="28"/>
          <w:szCs w:val="28"/>
        </w:rPr>
        <w:t>.000.000 TL</w:t>
      </w:r>
    </w:p>
    <w:p w:rsidR="00D20876" w:rsidRPr="00337922" w:rsidRDefault="00F3580A">
      <w:pPr>
        <w:rPr>
          <w:rFonts w:cstheme="minorHAnsi"/>
          <w:b/>
          <w:sz w:val="28"/>
          <w:szCs w:val="28"/>
        </w:rPr>
      </w:pPr>
      <w:r w:rsidRPr="00337922">
        <w:rPr>
          <w:rFonts w:cstheme="minorHAnsi"/>
          <w:b/>
          <w:sz w:val="28"/>
          <w:szCs w:val="28"/>
        </w:rPr>
        <w:t xml:space="preserve">İşletme Başına Kredi Üst </w:t>
      </w:r>
      <w:proofErr w:type="gramStart"/>
      <w:r w:rsidRPr="00337922">
        <w:rPr>
          <w:rFonts w:cstheme="minorHAnsi"/>
          <w:b/>
          <w:sz w:val="28"/>
          <w:szCs w:val="28"/>
        </w:rPr>
        <w:t xml:space="preserve">Limiti </w:t>
      </w:r>
      <w:r w:rsidR="00D20876" w:rsidRPr="00337922">
        <w:rPr>
          <w:rFonts w:cstheme="minorHAnsi"/>
          <w:b/>
          <w:sz w:val="28"/>
          <w:szCs w:val="28"/>
        </w:rPr>
        <w:t>: 20</w:t>
      </w:r>
      <w:proofErr w:type="gramEnd"/>
      <w:r w:rsidR="00D20876" w:rsidRPr="00337922">
        <w:rPr>
          <w:rFonts w:cstheme="minorHAnsi"/>
          <w:b/>
          <w:sz w:val="28"/>
          <w:szCs w:val="28"/>
        </w:rPr>
        <w:t>.000.000 TL</w:t>
      </w:r>
    </w:p>
    <w:p w:rsidR="00D20876" w:rsidRDefault="00F3580A">
      <w:pPr>
        <w:rPr>
          <w:rFonts w:cstheme="minorHAnsi"/>
        </w:rPr>
      </w:pPr>
      <w:r w:rsidRPr="00662624">
        <w:rPr>
          <w:rFonts w:cstheme="minorHAnsi"/>
        </w:rPr>
        <w:t xml:space="preserve">Desteklenecek Azami Kredi </w:t>
      </w:r>
      <w:proofErr w:type="gramStart"/>
      <w:r w:rsidRPr="00662624">
        <w:rPr>
          <w:rFonts w:cstheme="minorHAnsi"/>
        </w:rPr>
        <w:t xml:space="preserve">Vadesi </w:t>
      </w:r>
      <w:r w:rsidR="00D20876">
        <w:rPr>
          <w:rFonts w:cstheme="minorHAnsi"/>
        </w:rPr>
        <w:t xml:space="preserve"> : 36</w:t>
      </w:r>
      <w:proofErr w:type="gramEnd"/>
      <w:r w:rsidR="00D20876">
        <w:rPr>
          <w:rFonts w:cstheme="minorHAnsi"/>
        </w:rPr>
        <w:t xml:space="preserve"> Ay</w:t>
      </w:r>
    </w:p>
    <w:p w:rsidR="00662624" w:rsidRPr="00662624" w:rsidRDefault="00F3580A">
      <w:pPr>
        <w:rPr>
          <w:rFonts w:cstheme="minorHAnsi"/>
        </w:rPr>
      </w:pPr>
      <w:r w:rsidRPr="00662624">
        <w:rPr>
          <w:rFonts w:cstheme="minorHAnsi"/>
        </w:rPr>
        <w:t xml:space="preserve">(5) Destek Puanı, Başkanlık Makamı Oluru ile belirlenir. Finansal kuruluş tarafından aktif kredi </w:t>
      </w:r>
      <w:proofErr w:type="spellStart"/>
      <w:r w:rsidRPr="00662624">
        <w:rPr>
          <w:rFonts w:cstheme="minorHAnsi"/>
        </w:rPr>
        <w:t>kullandırımının</w:t>
      </w:r>
      <w:proofErr w:type="spellEnd"/>
      <w:r w:rsidRPr="00662624">
        <w:rPr>
          <w:rFonts w:cstheme="minorHAnsi"/>
        </w:rPr>
        <w:t xml:space="preserve"> yapıldığı tarihte geçerli olan destek puanı üzerinden faiz/kar payı desteği hesabı yapılır.</w:t>
      </w:r>
    </w:p>
    <w:p w:rsidR="00662624" w:rsidRPr="00662624" w:rsidRDefault="00F3580A">
      <w:pPr>
        <w:rPr>
          <w:rFonts w:cstheme="minorHAnsi"/>
        </w:rPr>
      </w:pPr>
      <w:r w:rsidRPr="00662624">
        <w:rPr>
          <w:rFonts w:cstheme="minorHAnsi"/>
        </w:rPr>
        <w:t xml:space="preserve">(6) Finansal kuruluş tarafından kullandırılacak her bir kredinin vadesi 36 ayı geçemez. </w:t>
      </w:r>
    </w:p>
    <w:p w:rsidR="00662624" w:rsidRPr="00662624" w:rsidRDefault="00F3580A">
      <w:pPr>
        <w:rPr>
          <w:rFonts w:cstheme="minorHAnsi"/>
        </w:rPr>
      </w:pPr>
      <w:r w:rsidRPr="00662624">
        <w:rPr>
          <w:rFonts w:cstheme="minorHAnsi"/>
        </w:rPr>
        <w:t xml:space="preserve">(7) Kurul tarafından kabul edilebilecek kredi </w:t>
      </w:r>
      <w:proofErr w:type="spellStart"/>
      <w:r w:rsidRPr="00662624">
        <w:rPr>
          <w:rFonts w:cstheme="minorHAnsi"/>
        </w:rPr>
        <w:t>kullandırımına</w:t>
      </w:r>
      <w:proofErr w:type="spellEnd"/>
      <w:r w:rsidRPr="00662624">
        <w:rPr>
          <w:rFonts w:cstheme="minorHAnsi"/>
        </w:rPr>
        <w:t xml:space="preserve"> esas tutar, işletme başına kredi alt limitinden düşük olamaz. </w:t>
      </w:r>
    </w:p>
    <w:p w:rsidR="00662624" w:rsidRPr="00662624" w:rsidRDefault="00F3580A">
      <w:pPr>
        <w:rPr>
          <w:rFonts w:cstheme="minorHAnsi"/>
        </w:rPr>
      </w:pPr>
      <w:r w:rsidRPr="00662624">
        <w:rPr>
          <w:rFonts w:cstheme="minorHAnsi"/>
        </w:rPr>
        <w:t xml:space="preserve">(8) Proje başlangıç tarihi desteklemeye ilişkin ilk kurul kararının evrak kaydına alındığı tarihtir. Kredi kullanım süreçlerinin proje bitiş tarihi itibarıyla tamamlanması gerekir. </w:t>
      </w:r>
    </w:p>
    <w:p w:rsidR="00662624" w:rsidRPr="00662624" w:rsidRDefault="00F3580A">
      <w:pPr>
        <w:rPr>
          <w:rFonts w:cstheme="minorHAnsi"/>
          <w:b/>
          <w:sz w:val="24"/>
          <w:szCs w:val="24"/>
        </w:rPr>
      </w:pPr>
      <w:r w:rsidRPr="00662624">
        <w:rPr>
          <w:rFonts w:cstheme="minorHAnsi"/>
          <w:b/>
          <w:sz w:val="24"/>
          <w:szCs w:val="24"/>
        </w:rPr>
        <w:t xml:space="preserve">Programdan yararlanma koşulu </w:t>
      </w:r>
    </w:p>
    <w:p w:rsidR="00662624" w:rsidRPr="00662624" w:rsidRDefault="00F3580A">
      <w:pPr>
        <w:rPr>
          <w:rFonts w:cstheme="minorHAnsi"/>
        </w:rPr>
      </w:pPr>
      <w:r w:rsidRPr="00662624">
        <w:rPr>
          <w:rFonts w:cstheme="minorHAnsi"/>
        </w:rPr>
        <w:t xml:space="preserve"> (1) Programdan yararlanılabilmesi için işletmenin; sistemde kayıtlı, aktif durumda ve İşletme Beyanının güncel olması gerekir. Sisteme kayıt, KOSGEB Veri Tabanına Kayıt Sürecine İlişkin Usul ve Esaslar çerçevesinde gerçekleştirilir.</w:t>
      </w:r>
    </w:p>
    <w:p w:rsidR="00662624" w:rsidRPr="00662624" w:rsidRDefault="00F3580A">
      <w:pPr>
        <w:rPr>
          <w:rFonts w:cstheme="minorHAnsi"/>
        </w:rPr>
      </w:pPr>
      <w:r w:rsidRPr="00662624">
        <w:rPr>
          <w:rFonts w:cstheme="minorHAnsi"/>
        </w:rPr>
        <w:t xml:space="preserve"> (2) Programdan, işletme sınıfı küçük işletme veya orta büyüklükte olan işletmeler yararlanabilir. Mikro işletmeler başvuru yapamaz. İşletmenin sınıfı, başvuru formunun işletme tarafından ilk onaylandığı tarihteki bilgileri esas alınarak belirlenir. Onay tarihinden sonraki işletme sınıfı değişiklikleri dikkate alınmaz. </w:t>
      </w:r>
    </w:p>
    <w:p w:rsidR="00662624" w:rsidRPr="00662624" w:rsidRDefault="00F3580A">
      <w:pPr>
        <w:rPr>
          <w:rFonts w:cstheme="minorHAnsi"/>
        </w:rPr>
      </w:pPr>
      <w:r w:rsidRPr="00662624">
        <w:rPr>
          <w:rFonts w:cstheme="minorHAnsi"/>
        </w:rPr>
        <w:t xml:space="preserve">(3) İşletmenin </w:t>
      </w:r>
      <w:proofErr w:type="spellStart"/>
      <w:r w:rsidRPr="00662624">
        <w:rPr>
          <w:rFonts w:cstheme="minorHAnsi"/>
        </w:rPr>
        <w:t>limited</w:t>
      </w:r>
      <w:proofErr w:type="spellEnd"/>
      <w:r w:rsidRPr="00662624">
        <w:rPr>
          <w:rFonts w:cstheme="minorHAnsi"/>
        </w:rPr>
        <w:t xml:space="preserve"> veya anonim şirket statüsünde olması gerekir.</w:t>
      </w:r>
    </w:p>
    <w:p w:rsidR="00662624" w:rsidRPr="00662624" w:rsidRDefault="00F3580A">
      <w:pPr>
        <w:rPr>
          <w:rFonts w:cstheme="minorHAnsi"/>
        </w:rPr>
      </w:pPr>
      <w:r w:rsidRPr="00662624">
        <w:rPr>
          <w:rFonts w:cstheme="minorHAnsi"/>
        </w:rPr>
        <w:t xml:space="preserve"> (4) Programdan, hızlı büyüyen işletmeler yararlanabilir. Hızlı büyüyen işletme olma durumu belirlenirken ortak/bağlı işletme olma durumu dikkate alınmaksızın yalnızca başvuru sahibi işletmenin yıllık istihdam sayısı veya net satışları dikkate alınır. Hızlı büyüyen olma durumu belirlenirken GSYH Deflatörü kullanılarak </w:t>
      </w:r>
      <w:r w:rsidR="00662624" w:rsidRPr="00662624">
        <w:rPr>
          <w:rFonts w:cstheme="minorHAnsi"/>
        </w:rPr>
        <w:t>net satış verileri düzeltilir.</w:t>
      </w:r>
    </w:p>
    <w:p w:rsidR="00A1027F" w:rsidRDefault="00F3580A">
      <w:pPr>
        <w:rPr>
          <w:rFonts w:cstheme="minorHAnsi"/>
        </w:rPr>
      </w:pPr>
      <w:r w:rsidRPr="00662624">
        <w:rPr>
          <w:rFonts w:cstheme="minorHAnsi"/>
        </w:rPr>
        <w:lastRenderedPageBreak/>
        <w:t xml:space="preserve">(5) Programdan, KOSGEB tarafından desteklenen sektörlerde faaliyet gösteren </w:t>
      </w:r>
    </w:p>
    <w:p w:rsidR="00A1027F" w:rsidRDefault="00A1027F">
      <w:pPr>
        <w:rPr>
          <w:rFonts w:cstheme="minorHAnsi"/>
        </w:rPr>
      </w:pPr>
    </w:p>
    <w:p w:rsidR="00A1027F" w:rsidRPr="00A1027F" w:rsidRDefault="00F3580A">
      <w:pPr>
        <w:rPr>
          <w:rFonts w:cstheme="minorHAnsi"/>
          <w:b/>
        </w:rPr>
      </w:pPr>
      <w:r w:rsidRPr="00A1027F">
        <w:rPr>
          <w:rFonts w:cstheme="minorHAnsi"/>
          <w:b/>
        </w:rPr>
        <w:t xml:space="preserve">NACE kodu Kısım C – İmalat, </w:t>
      </w:r>
    </w:p>
    <w:p w:rsidR="00A1027F" w:rsidRPr="00A1027F" w:rsidRDefault="00F3580A">
      <w:pPr>
        <w:rPr>
          <w:rFonts w:cstheme="minorHAnsi"/>
          <w:b/>
        </w:rPr>
      </w:pPr>
      <w:r w:rsidRPr="00A1027F">
        <w:rPr>
          <w:rFonts w:cstheme="minorHAnsi"/>
          <w:b/>
        </w:rPr>
        <w:t xml:space="preserve">Bölüm 61 – Telekomünikasyon, </w:t>
      </w:r>
    </w:p>
    <w:p w:rsidR="00A1027F" w:rsidRPr="00A1027F" w:rsidRDefault="00F3580A">
      <w:pPr>
        <w:rPr>
          <w:rFonts w:cstheme="minorHAnsi"/>
          <w:b/>
        </w:rPr>
      </w:pPr>
      <w:r w:rsidRPr="00A1027F">
        <w:rPr>
          <w:rFonts w:cstheme="minorHAnsi"/>
          <w:b/>
        </w:rPr>
        <w:t xml:space="preserve">Bölüm 62 – Bilgisayar programlama, danışmanlık ve ilgili faaliyetler, </w:t>
      </w:r>
    </w:p>
    <w:p w:rsidR="00662624" w:rsidRPr="00A1027F" w:rsidRDefault="00F3580A">
      <w:pPr>
        <w:rPr>
          <w:rFonts w:cstheme="minorHAnsi"/>
          <w:b/>
        </w:rPr>
      </w:pPr>
      <w:r w:rsidRPr="00A1027F">
        <w:rPr>
          <w:rFonts w:cstheme="minorHAnsi"/>
          <w:b/>
        </w:rPr>
        <w:t xml:space="preserve">Bölüm 63 – Bilişim altyapısı, veri işleme, barındırma ve diğer bilgi hizmeti faaliyetleri veya Bölüm 72 – Bilimsel araştırma ve geliştirme faaliyetleri sektörlerinde faaliyet gösteren işletmeler yararlanabilir. Başvuru formunun işletme tarafından ilk onaylandığı tarihte faaliyet gösterdiği sektör bilgileri esas </w:t>
      </w:r>
      <w:r w:rsidR="00662624" w:rsidRPr="00A1027F">
        <w:rPr>
          <w:rFonts w:cstheme="minorHAnsi"/>
          <w:b/>
        </w:rPr>
        <w:t>alınır.</w:t>
      </w:r>
    </w:p>
    <w:p w:rsidR="00662624" w:rsidRPr="00662624" w:rsidRDefault="00F3580A">
      <w:pPr>
        <w:rPr>
          <w:rFonts w:cstheme="minorHAnsi"/>
        </w:rPr>
      </w:pPr>
      <w:r w:rsidRPr="00662624">
        <w:rPr>
          <w:rFonts w:cstheme="minorHAnsi"/>
        </w:rPr>
        <w:t xml:space="preserve">(6) NACE kodu Kısım C – İmalat sektörlerinde faaliyet gösteren işletmenin başvuru tarihi itibarıyla geçerli Sanayi Sicil </w:t>
      </w:r>
      <w:r w:rsidR="00662624" w:rsidRPr="00662624">
        <w:rPr>
          <w:rFonts w:cstheme="minorHAnsi"/>
        </w:rPr>
        <w:t>Belgesine sahip olması gerekir.</w:t>
      </w:r>
    </w:p>
    <w:p w:rsidR="00662624" w:rsidRPr="00662624" w:rsidRDefault="00F3580A">
      <w:pPr>
        <w:rPr>
          <w:rFonts w:cstheme="minorHAnsi"/>
        </w:rPr>
      </w:pPr>
      <w:r w:rsidRPr="00662624">
        <w:rPr>
          <w:rFonts w:cstheme="minorHAnsi"/>
        </w:rPr>
        <w:t xml:space="preserve"> (7) NACE kodu Kısım C – İmalat sektörlerinde faaliyet gösteren işletmenin YODA yaptırmış olma</w:t>
      </w:r>
      <w:r w:rsidR="00662624" w:rsidRPr="00662624">
        <w:rPr>
          <w:rFonts w:cstheme="minorHAnsi"/>
        </w:rPr>
        <w:t>sı gerekir.</w:t>
      </w:r>
    </w:p>
    <w:p w:rsidR="00337922" w:rsidRDefault="00F3580A">
      <w:pPr>
        <w:rPr>
          <w:rFonts w:cstheme="minorHAnsi"/>
        </w:rPr>
      </w:pPr>
      <w:r w:rsidRPr="00662624">
        <w:rPr>
          <w:rFonts w:cstheme="minorHAnsi"/>
        </w:rPr>
        <w:t xml:space="preserve"> (8) Aşağıda yer alan </w:t>
      </w:r>
      <w:proofErr w:type="gramStart"/>
      <w:r w:rsidRPr="00662624">
        <w:rPr>
          <w:rFonts w:cstheme="minorHAnsi"/>
        </w:rPr>
        <w:t>kriterlerden</w:t>
      </w:r>
      <w:proofErr w:type="gramEnd"/>
      <w:r w:rsidRPr="00662624">
        <w:rPr>
          <w:rFonts w:cstheme="minorHAnsi"/>
        </w:rPr>
        <w:t xml:space="preserve"> herhangi birini sağlayan işletmelerde hızlı büyüyen işletme olma şartı aranmaz.</w:t>
      </w:r>
    </w:p>
    <w:p w:rsidR="00337922" w:rsidRDefault="00F3580A">
      <w:pPr>
        <w:rPr>
          <w:rFonts w:cstheme="minorHAnsi"/>
        </w:rPr>
      </w:pPr>
      <w:r w:rsidRPr="00662624">
        <w:rPr>
          <w:rFonts w:cstheme="minorHAnsi"/>
        </w:rPr>
        <w:t xml:space="preserve"> a) KOSGEB veya TÜBİTAK tarafından desteklenen Ar-Ge/</w:t>
      </w:r>
      <w:proofErr w:type="spellStart"/>
      <w:r w:rsidRPr="00662624">
        <w:rPr>
          <w:rFonts w:cstheme="minorHAnsi"/>
        </w:rPr>
        <w:t>Ür</w:t>
      </w:r>
      <w:proofErr w:type="spellEnd"/>
      <w:r w:rsidRPr="00662624">
        <w:rPr>
          <w:rFonts w:cstheme="minorHAnsi"/>
        </w:rPr>
        <w:t xml:space="preserve">-Ge/yenilik projesi başarılı olarak tamamlanmış, </w:t>
      </w:r>
    </w:p>
    <w:p w:rsidR="00337922" w:rsidRDefault="00F3580A">
      <w:pPr>
        <w:rPr>
          <w:rFonts w:cstheme="minorHAnsi"/>
        </w:rPr>
      </w:pPr>
      <w:r w:rsidRPr="00662624">
        <w:rPr>
          <w:rFonts w:cstheme="minorHAnsi"/>
        </w:rPr>
        <w:t xml:space="preserve">b) </w:t>
      </w:r>
      <w:proofErr w:type="gramStart"/>
      <w:r w:rsidRPr="00662624">
        <w:rPr>
          <w:rFonts w:cstheme="minorHAnsi"/>
        </w:rPr>
        <w:t>12/3/2008</w:t>
      </w:r>
      <w:proofErr w:type="gramEnd"/>
      <w:r w:rsidRPr="00662624">
        <w:rPr>
          <w:rFonts w:cstheme="minorHAnsi"/>
        </w:rPr>
        <w:t xml:space="preserve"> tarih ve 26814 sayılı Resmi Gazetede yayımlanarak yürürlüğe giren 5746 sayılı Araştırma, Geliştirme ve Tasarım Faaliyetlerinin Desteklenmesi Hakkında Kanun kapsamında Ar-Ge merkezi olan, </w:t>
      </w:r>
    </w:p>
    <w:p w:rsidR="00337922" w:rsidRDefault="00F3580A">
      <w:pPr>
        <w:rPr>
          <w:rFonts w:cstheme="minorHAnsi"/>
        </w:rPr>
      </w:pPr>
      <w:r w:rsidRPr="00662624">
        <w:rPr>
          <w:rFonts w:cstheme="minorHAnsi"/>
        </w:rPr>
        <w:t xml:space="preserve">c) Başvuru yapılan tarih itibarıyla geçerli Teknolojik Ürün Deneyim (TÜR) belgesine sahip, </w:t>
      </w:r>
    </w:p>
    <w:p w:rsidR="00337922" w:rsidRDefault="00F3580A">
      <w:pPr>
        <w:rPr>
          <w:rFonts w:cstheme="minorHAnsi"/>
        </w:rPr>
      </w:pPr>
      <w:r w:rsidRPr="00662624">
        <w:rPr>
          <w:rFonts w:cstheme="minorHAnsi"/>
        </w:rPr>
        <w:t xml:space="preserve">ç) 4691 sayılı Teknoloji Geliştirme Bölgeleri Kanunu uyarınca Teknoloji Geliştirme Bölgesinde faaliyet gösteren, </w:t>
      </w:r>
    </w:p>
    <w:p w:rsidR="00F3580A" w:rsidRPr="00662624" w:rsidRDefault="00F3580A">
      <w:pPr>
        <w:rPr>
          <w:rFonts w:cstheme="minorHAnsi"/>
        </w:rPr>
      </w:pPr>
      <w:r w:rsidRPr="00662624">
        <w:rPr>
          <w:rFonts w:cstheme="minorHAnsi"/>
        </w:rPr>
        <w:t>d) Tedarikçi geliştirmeye yönelik projelerde başvuru sırasında büyük işletme ile</w:t>
      </w:r>
      <w:r w:rsidR="00337922">
        <w:rPr>
          <w:rFonts w:cstheme="minorHAnsi"/>
        </w:rPr>
        <w:t xml:space="preserve"> </w:t>
      </w:r>
      <w:r w:rsidRPr="00662624">
        <w:rPr>
          <w:rFonts w:cstheme="minorHAnsi"/>
        </w:rPr>
        <w:t>yapılan sipariş sözleşmesi sunan,</w:t>
      </w:r>
    </w:p>
    <w:p w:rsidR="00337922" w:rsidRDefault="00F3580A">
      <w:pPr>
        <w:rPr>
          <w:rFonts w:cstheme="minorHAnsi"/>
        </w:rPr>
      </w:pPr>
      <w:r w:rsidRPr="00662624">
        <w:rPr>
          <w:rFonts w:cstheme="minorHAnsi"/>
        </w:rPr>
        <w:t>(9) KOSGEB veya TÜBİTAK tarafından desteklenen Ar-Ge/</w:t>
      </w:r>
      <w:proofErr w:type="spellStart"/>
      <w:r w:rsidRPr="00662624">
        <w:rPr>
          <w:rFonts w:cstheme="minorHAnsi"/>
        </w:rPr>
        <w:t>Ür</w:t>
      </w:r>
      <w:proofErr w:type="spellEnd"/>
      <w:r w:rsidRPr="00662624">
        <w:rPr>
          <w:rFonts w:cstheme="minorHAnsi"/>
        </w:rPr>
        <w:t xml:space="preserve">-Ge/yenilik projesi başarılı olarak tamamlanmış işletmelerin projesinin başarı ile tamamlanma belge tarihlerinin başvurunun ilk onaylandığı tarih itibarıyla en fazla 5 yıl önce olması esastır. Beş yılın hesaplanmasında; </w:t>
      </w:r>
    </w:p>
    <w:p w:rsidR="00A1027F" w:rsidRDefault="00F3580A">
      <w:pPr>
        <w:rPr>
          <w:rFonts w:cstheme="minorHAnsi"/>
        </w:rPr>
      </w:pPr>
      <w:r w:rsidRPr="00662624">
        <w:rPr>
          <w:rFonts w:cstheme="minorHAnsi"/>
        </w:rPr>
        <w:t>a) KOSGEB tarafından desteklenen Ar-Ge/</w:t>
      </w:r>
      <w:proofErr w:type="spellStart"/>
      <w:r w:rsidRPr="00662624">
        <w:rPr>
          <w:rFonts w:cstheme="minorHAnsi"/>
        </w:rPr>
        <w:t>Ür</w:t>
      </w:r>
      <w:proofErr w:type="spellEnd"/>
      <w:r w:rsidRPr="00662624">
        <w:rPr>
          <w:rFonts w:cstheme="minorHAnsi"/>
        </w:rPr>
        <w:t xml:space="preserve">-Ge/yenilik projeleri için; projenin başarıyla tamamlandığına ilişkin kurul kararının evrak kaydına alındığı tarih, </w:t>
      </w:r>
    </w:p>
    <w:p w:rsidR="00662624" w:rsidRPr="00662624" w:rsidRDefault="00F3580A">
      <w:pPr>
        <w:rPr>
          <w:rFonts w:cstheme="minorHAnsi"/>
        </w:rPr>
      </w:pPr>
      <w:r w:rsidRPr="00662624">
        <w:rPr>
          <w:rFonts w:cstheme="minorHAnsi"/>
        </w:rPr>
        <w:t>b) TÜBİTAK tarafından desteklenen Ar-Ge/</w:t>
      </w:r>
      <w:proofErr w:type="spellStart"/>
      <w:r w:rsidRPr="00662624">
        <w:rPr>
          <w:rFonts w:cstheme="minorHAnsi"/>
        </w:rPr>
        <w:t>Ür</w:t>
      </w:r>
      <w:proofErr w:type="spellEnd"/>
      <w:r w:rsidRPr="00662624">
        <w:rPr>
          <w:rFonts w:cstheme="minorHAnsi"/>
        </w:rPr>
        <w:t>-Ge/yenilik projeleri için; projenin başarı ile sonuçlandırıldığına dair belgenin düzenlenme t</w:t>
      </w:r>
      <w:r w:rsidR="00662624" w:rsidRPr="00662624">
        <w:rPr>
          <w:rFonts w:cstheme="minorHAnsi"/>
        </w:rPr>
        <w:t xml:space="preserve">arihi esas alınır. </w:t>
      </w:r>
    </w:p>
    <w:p w:rsidR="00662624" w:rsidRPr="00662624" w:rsidRDefault="00F3580A">
      <w:pPr>
        <w:rPr>
          <w:rFonts w:cstheme="minorHAnsi"/>
          <w:b/>
          <w:sz w:val="24"/>
          <w:szCs w:val="24"/>
        </w:rPr>
      </w:pPr>
      <w:r w:rsidRPr="00662624">
        <w:rPr>
          <w:rFonts w:cstheme="minorHAnsi"/>
          <w:b/>
          <w:sz w:val="24"/>
          <w:szCs w:val="24"/>
        </w:rPr>
        <w:t>Program Kapsamında Desteklenecek Giderler</w:t>
      </w:r>
    </w:p>
    <w:p w:rsidR="00662624" w:rsidRPr="00662624" w:rsidRDefault="00662624">
      <w:pPr>
        <w:rPr>
          <w:rFonts w:cstheme="minorHAnsi"/>
        </w:rPr>
      </w:pPr>
      <w:r w:rsidRPr="00662624">
        <w:rPr>
          <w:rFonts w:cstheme="minorHAnsi"/>
        </w:rPr>
        <w:lastRenderedPageBreak/>
        <w:t xml:space="preserve"> </w:t>
      </w:r>
      <w:r w:rsidR="00F3580A" w:rsidRPr="00662624">
        <w:rPr>
          <w:rFonts w:cstheme="minorHAnsi"/>
        </w:rPr>
        <w:t xml:space="preserve">(1) Destek programı kapsamında aşağıda yer alan ve proje ile ilişkilendirilmiş giderler için işletmelerin finansal kuruluşlardan kullanacakları finansmanın faiz/kar payına geri ödemesiz destek sağlanır. </w:t>
      </w:r>
    </w:p>
    <w:p w:rsidR="00662624" w:rsidRPr="00662624" w:rsidRDefault="00F3580A">
      <w:pPr>
        <w:rPr>
          <w:rFonts w:cstheme="minorHAnsi"/>
        </w:rPr>
      </w:pPr>
      <w:r w:rsidRPr="00662624">
        <w:rPr>
          <w:rFonts w:cstheme="minorHAnsi"/>
        </w:rPr>
        <w:t>a) Makine, teçhizat ve kalıp giderleri</w:t>
      </w:r>
    </w:p>
    <w:p w:rsidR="00662624" w:rsidRPr="00662624" w:rsidRDefault="00F3580A">
      <w:pPr>
        <w:rPr>
          <w:rFonts w:cstheme="minorHAnsi"/>
        </w:rPr>
      </w:pPr>
      <w:r w:rsidRPr="00662624">
        <w:rPr>
          <w:rFonts w:cstheme="minorHAnsi"/>
        </w:rPr>
        <w:t xml:space="preserve"> b) Yazılım giderleri </w:t>
      </w:r>
    </w:p>
    <w:p w:rsidR="00662624" w:rsidRPr="00662624" w:rsidRDefault="00662624">
      <w:pPr>
        <w:rPr>
          <w:rFonts w:cstheme="minorHAnsi"/>
        </w:rPr>
      </w:pPr>
      <w:r w:rsidRPr="00662624">
        <w:rPr>
          <w:rFonts w:cstheme="minorHAnsi"/>
        </w:rPr>
        <w:t>c) Personel giderleri</w:t>
      </w:r>
    </w:p>
    <w:p w:rsidR="00662624" w:rsidRPr="00662624" w:rsidRDefault="00F3580A">
      <w:pPr>
        <w:rPr>
          <w:rFonts w:cstheme="minorHAnsi"/>
        </w:rPr>
      </w:pPr>
      <w:r w:rsidRPr="00662624">
        <w:rPr>
          <w:rFonts w:cstheme="minorHAnsi"/>
        </w:rPr>
        <w:t xml:space="preserve">ç) Hizmet alımı giderleri (eğitim, danışmanlık ve </w:t>
      </w:r>
      <w:proofErr w:type="spellStart"/>
      <w:r w:rsidRPr="00662624">
        <w:rPr>
          <w:rFonts w:cstheme="minorHAnsi"/>
        </w:rPr>
        <w:t>yönderlik</w:t>
      </w:r>
      <w:proofErr w:type="spellEnd"/>
      <w:r w:rsidRPr="00662624">
        <w:rPr>
          <w:rFonts w:cstheme="minorHAnsi"/>
        </w:rPr>
        <w:t>, belgelendirme, test ve analiz, pazarlama, tas</w:t>
      </w:r>
      <w:r w:rsidR="00662624" w:rsidRPr="00662624">
        <w:rPr>
          <w:rFonts w:cstheme="minorHAnsi"/>
        </w:rPr>
        <w:t>arım, sınai mülkiyet hakları)</w:t>
      </w:r>
    </w:p>
    <w:p w:rsidR="00662624" w:rsidRPr="00662624" w:rsidRDefault="00F3580A">
      <w:pPr>
        <w:rPr>
          <w:rFonts w:cstheme="minorHAnsi"/>
        </w:rPr>
      </w:pPr>
      <w:r w:rsidRPr="00662624">
        <w:rPr>
          <w:rFonts w:cstheme="minorHAnsi"/>
        </w:rPr>
        <w:t>d) İşletme sermayesi</w:t>
      </w:r>
    </w:p>
    <w:p w:rsidR="00662624" w:rsidRDefault="00F3580A">
      <w:pPr>
        <w:rPr>
          <w:rFonts w:cstheme="minorHAnsi"/>
        </w:rPr>
      </w:pPr>
      <w:r w:rsidRPr="00662624">
        <w:rPr>
          <w:rFonts w:cstheme="minorHAnsi"/>
        </w:rPr>
        <w:t xml:space="preserve"> (2) Kredi </w:t>
      </w:r>
      <w:proofErr w:type="spellStart"/>
      <w:r w:rsidRPr="00662624">
        <w:rPr>
          <w:rFonts w:cstheme="minorHAnsi"/>
        </w:rPr>
        <w:t>kullandırımına</w:t>
      </w:r>
      <w:proofErr w:type="spellEnd"/>
      <w:r w:rsidRPr="00662624">
        <w:rPr>
          <w:rFonts w:cstheme="minorHAnsi"/>
        </w:rPr>
        <w:t xml:space="preserve"> esas proje giderlerine kurul karar verir. Kredi </w:t>
      </w:r>
      <w:proofErr w:type="spellStart"/>
      <w:r w:rsidRPr="00662624">
        <w:rPr>
          <w:rFonts w:cstheme="minorHAnsi"/>
        </w:rPr>
        <w:t>kullandırımına</w:t>
      </w:r>
      <w:proofErr w:type="spellEnd"/>
      <w:r w:rsidRPr="00662624">
        <w:rPr>
          <w:rFonts w:cstheme="minorHAnsi"/>
        </w:rPr>
        <w:t xml:space="preserve"> esas tutar belirlenirken vergi, harç ve benzeri giderler kapsam dışı tutulur.</w:t>
      </w:r>
    </w:p>
    <w:p w:rsidR="00F33A17" w:rsidRDefault="00F33A17">
      <w:pPr>
        <w:rPr>
          <w:rFonts w:cstheme="minorHAnsi"/>
        </w:rPr>
      </w:pPr>
    </w:p>
    <w:p w:rsidR="00662624" w:rsidRPr="00F33A17" w:rsidRDefault="00662624" w:rsidP="00662624">
      <w:pPr>
        <w:pStyle w:val="NormalWeb"/>
        <w:shd w:val="clear" w:color="auto" w:fill="FFFFFF"/>
        <w:spacing w:before="0" w:beforeAutospacing="0" w:after="150" w:afterAutospacing="0"/>
        <w:jc w:val="both"/>
        <w:rPr>
          <w:rFonts w:asciiTheme="minorHAnsi" w:hAnsiTheme="minorHAnsi" w:cstheme="minorHAnsi"/>
          <w:b/>
          <w:color w:val="656565"/>
        </w:rPr>
      </w:pPr>
      <w:r w:rsidRPr="00F33A17">
        <w:rPr>
          <w:rFonts w:asciiTheme="minorHAnsi" w:hAnsiTheme="minorHAnsi" w:cstheme="minorHAnsi"/>
          <w:b/>
          <w:color w:val="656565"/>
        </w:rPr>
        <w:t>Kapasite Geliştirme Destek Programı başvuruları dönemsel olarak alınmaktadır.</w:t>
      </w:r>
    </w:p>
    <w:p w:rsidR="00662624" w:rsidRPr="00F33A17" w:rsidRDefault="00662624" w:rsidP="00662624">
      <w:pPr>
        <w:pStyle w:val="NormalWeb"/>
        <w:shd w:val="clear" w:color="auto" w:fill="FFFFFF"/>
        <w:spacing w:before="0" w:beforeAutospacing="0" w:after="150" w:afterAutospacing="0"/>
        <w:jc w:val="both"/>
        <w:rPr>
          <w:rFonts w:asciiTheme="minorHAnsi" w:hAnsiTheme="minorHAnsi" w:cstheme="minorHAnsi"/>
          <w:b/>
          <w:color w:val="656565"/>
        </w:rPr>
      </w:pPr>
      <w:r w:rsidRPr="00F33A17">
        <w:rPr>
          <w:rFonts w:asciiTheme="minorHAnsi" w:hAnsiTheme="minorHAnsi" w:cstheme="minorHAnsi"/>
          <w:b/>
          <w:color w:val="656565"/>
        </w:rPr>
        <w:t>2025-2 Dönemi başvuru tarihleri:</w:t>
      </w:r>
      <w:r w:rsidR="007F006C">
        <w:rPr>
          <w:rStyle w:val="Gl"/>
          <w:rFonts w:asciiTheme="minorHAnsi" w:hAnsiTheme="minorHAnsi" w:cstheme="minorHAnsi"/>
          <w:b w:val="0"/>
          <w:color w:val="656565"/>
        </w:rPr>
        <w:t> </w:t>
      </w:r>
      <w:r w:rsidR="007F006C" w:rsidRPr="007F006C">
        <w:rPr>
          <w:rStyle w:val="Gl"/>
          <w:rFonts w:asciiTheme="minorHAnsi" w:hAnsiTheme="minorHAnsi" w:cstheme="minorHAnsi"/>
          <w:color w:val="656565"/>
        </w:rPr>
        <w:t>1 EKİM – 31 EKİM 2025</w:t>
      </w:r>
    </w:p>
    <w:p w:rsidR="00662624" w:rsidRDefault="00557452" w:rsidP="00662624">
      <w:pPr>
        <w:pStyle w:val="NormalWeb"/>
        <w:shd w:val="clear" w:color="auto" w:fill="FFFFFF"/>
        <w:spacing w:before="0" w:beforeAutospacing="0" w:after="150" w:afterAutospacing="0"/>
        <w:jc w:val="both"/>
        <w:rPr>
          <w:rFonts w:asciiTheme="minorHAnsi" w:hAnsiTheme="minorHAnsi" w:cstheme="minorHAnsi"/>
          <w:b/>
          <w:color w:val="656565"/>
        </w:rPr>
      </w:pPr>
      <w:r w:rsidRPr="00F33A17">
        <w:rPr>
          <w:rFonts w:asciiTheme="minorHAnsi" w:hAnsiTheme="minorHAnsi" w:cstheme="minorHAnsi"/>
          <w:b/>
          <w:color w:val="656565"/>
        </w:rPr>
        <w:t xml:space="preserve">Destek </w:t>
      </w:r>
      <w:r w:rsidR="00C854D8">
        <w:rPr>
          <w:rFonts w:asciiTheme="minorHAnsi" w:hAnsiTheme="minorHAnsi" w:cstheme="minorHAnsi"/>
          <w:b/>
          <w:color w:val="656565"/>
        </w:rPr>
        <w:t>programına</w:t>
      </w:r>
      <w:r w:rsidRPr="00F33A17">
        <w:rPr>
          <w:rFonts w:asciiTheme="minorHAnsi" w:hAnsiTheme="minorHAnsi" w:cstheme="minorHAnsi"/>
          <w:b/>
          <w:color w:val="656565"/>
        </w:rPr>
        <w:t xml:space="preserve"> </w:t>
      </w:r>
      <w:hyperlink r:id="rId9" w:history="1">
        <w:r w:rsidRPr="00F33A17">
          <w:rPr>
            <w:rStyle w:val="Kpr"/>
            <w:rFonts w:asciiTheme="minorHAnsi" w:hAnsiTheme="minorHAnsi" w:cstheme="minorHAnsi"/>
            <w:b/>
          </w:rPr>
          <w:t>www.kosgeb.gov.tr</w:t>
        </w:r>
      </w:hyperlink>
      <w:r w:rsidRPr="00F33A17">
        <w:rPr>
          <w:rFonts w:asciiTheme="minorHAnsi" w:hAnsiTheme="minorHAnsi" w:cstheme="minorHAnsi"/>
          <w:b/>
          <w:color w:val="656565"/>
        </w:rPr>
        <w:t xml:space="preserve"> adresi e-hizmetler sekmesinden </w:t>
      </w:r>
      <w:r w:rsidR="00662624" w:rsidRPr="00F33A17">
        <w:rPr>
          <w:rFonts w:asciiTheme="minorHAnsi" w:hAnsiTheme="minorHAnsi" w:cstheme="minorHAnsi"/>
          <w:b/>
          <w:color w:val="656565"/>
        </w:rPr>
        <w:t>başvuru yapabilirsiniz.</w:t>
      </w:r>
    </w:p>
    <w:p w:rsidR="004F3DA9" w:rsidRPr="00F33A17" w:rsidRDefault="004F3DA9" w:rsidP="00662624">
      <w:pPr>
        <w:pStyle w:val="NormalWeb"/>
        <w:shd w:val="clear" w:color="auto" w:fill="FFFFFF"/>
        <w:spacing w:before="0" w:beforeAutospacing="0" w:after="150" w:afterAutospacing="0"/>
        <w:jc w:val="both"/>
        <w:rPr>
          <w:rFonts w:asciiTheme="minorHAnsi" w:hAnsiTheme="minorHAnsi" w:cstheme="minorHAnsi"/>
          <w:b/>
          <w:color w:val="656565"/>
        </w:rPr>
      </w:pPr>
      <w:bookmarkStart w:id="0" w:name="_GoBack"/>
      <w:bookmarkEnd w:id="0"/>
    </w:p>
    <w:p w:rsidR="00662624" w:rsidRPr="00F33A17" w:rsidRDefault="00662624" w:rsidP="00662624">
      <w:pPr>
        <w:pStyle w:val="NormalWeb"/>
        <w:shd w:val="clear" w:color="auto" w:fill="FFFFFF"/>
        <w:spacing w:before="0" w:beforeAutospacing="0" w:after="150" w:afterAutospacing="0"/>
        <w:jc w:val="both"/>
        <w:rPr>
          <w:rFonts w:ascii="Helvetica" w:hAnsi="Helvetica" w:cs="Helvetica"/>
          <w:b/>
          <w:color w:val="656565"/>
        </w:rPr>
      </w:pPr>
      <w:r w:rsidRPr="00F33A17">
        <w:rPr>
          <w:rFonts w:ascii="Helvetica" w:hAnsi="Helvetica" w:cs="Helvetica"/>
          <w:b/>
          <w:color w:val="656565"/>
        </w:rPr>
        <w:t> </w:t>
      </w:r>
    </w:p>
    <w:p w:rsidR="00662624" w:rsidRPr="00662624" w:rsidRDefault="00662624">
      <w:pPr>
        <w:rPr>
          <w:rFonts w:cstheme="minorHAnsi"/>
        </w:rPr>
      </w:pPr>
    </w:p>
    <w:sectPr w:rsidR="00662624" w:rsidRPr="0066262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7D6" w:rsidRDefault="00E407D6" w:rsidP="00337922">
      <w:pPr>
        <w:spacing w:after="0" w:line="240" w:lineRule="auto"/>
      </w:pPr>
      <w:r>
        <w:separator/>
      </w:r>
    </w:p>
  </w:endnote>
  <w:endnote w:type="continuationSeparator" w:id="0">
    <w:p w:rsidR="00E407D6" w:rsidRDefault="00E407D6" w:rsidP="00337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903485"/>
      <w:docPartObj>
        <w:docPartGallery w:val="Page Numbers (Bottom of Page)"/>
        <w:docPartUnique/>
      </w:docPartObj>
    </w:sdtPr>
    <w:sdtEndPr/>
    <w:sdtContent>
      <w:p w:rsidR="00337922" w:rsidRDefault="00337922">
        <w:pPr>
          <w:pStyle w:val="Altbilgi"/>
          <w:jc w:val="center"/>
        </w:pPr>
        <w:r>
          <w:fldChar w:fldCharType="begin"/>
        </w:r>
        <w:r>
          <w:instrText>PAGE   \* MERGEFORMAT</w:instrText>
        </w:r>
        <w:r>
          <w:fldChar w:fldCharType="separate"/>
        </w:r>
        <w:r w:rsidR="004F3DA9">
          <w:rPr>
            <w:noProof/>
          </w:rPr>
          <w:t>4</w:t>
        </w:r>
        <w:r>
          <w:fldChar w:fldCharType="end"/>
        </w:r>
      </w:p>
    </w:sdtContent>
  </w:sdt>
  <w:p w:rsidR="00337922" w:rsidRDefault="0033792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7D6" w:rsidRDefault="00E407D6" w:rsidP="00337922">
      <w:pPr>
        <w:spacing w:after="0" w:line="240" w:lineRule="auto"/>
      </w:pPr>
      <w:r>
        <w:separator/>
      </w:r>
    </w:p>
  </w:footnote>
  <w:footnote w:type="continuationSeparator" w:id="0">
    <w:p w:rsidR="00E407D6" w:rsidRDefault="00E407D6" w:rsidP="003379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4799C"/>
    <w:multiLevelType w:val="multilevel"/>
    <w:tmpl w:val="44F2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3025D3"/>
    <w:multiLevelType w:val="multilevel"/>
    <w:tmpl w:val="7052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A4335E"/>
    <w:multiLevelType w:val="multilevel"/>
    <w:tmpl w:val="90EE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5C2626"/>
    <w:multiLevelType w:val="multilevel"/>
    <w:tmpl w:val="5D72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DDE"/>
    <w:rsid w:val="002925DE"/>
    <w:rsid w:val="00337922"/>
    <w:rsid w:val="0036634A"/>
    <w:rsid w:val="004144C0"/>
    <w:rsid w:val="004F3DA9"/>
    <w:rsid w:val="00557452"/>
    <w:rsid w:val="0064126C"/>
    <w:rsid w:val="00662624"/>
    <w:rsid w:val="006E2DDE"/>
    <w:rsid w:val="00776ACD"/>
    <w:rsid w:val="007F006C"/>
    <w:rsid w:val="00A1027F"/>
    <w:rsid w:val="00C854D8"/>
    <w:rsid w:val="00D20876"/>
    <w:rsid w:val="00E01E4D"/>
    <w:rsid w:val="00E407D6"/>
    <w:rsid w:val="00F33A17"/>
    <w:rsid w:val="00F3580A"/>
    <w:rsid w:val="00F363B3"/>
    <w:rsid w:val="00FC24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6262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62624"/>
    <w:rPr>
      <w:b/>
      <w:bCs/>
    </w:rPr>
  </w:style>
  <w:style w:type="character" w:styleId="Kpr">
    <w:name w:val="Hyperlink"/>
    <w:basedOn w:val="VarsaylanParagrafYazTipi"/>
    <w:uiPriority w:val="99"/>
    <w:unhideWhenUsed/>
    <w:rsid w:val="00662624"/>
    <w:rPr>
      <w:color w:val="0000FF"/>
      <w:u w:val="single"/>
    </w:rPr>
  </w:style>
  <w:style w:type="paragraph" w:styleId="stbilgi">
    <w:name w:val="header"/>
    <w:basedOn w:val="Normal"/>
    <w:link w:val="stbilgiChar"/>
    <w:uiPriority w:val="99"/>
    <w:unhideWhenUsed/>
    <w:rsid w:val="003379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37922"/>
  </w:style>
  <w:style w:type="paragraph" w:styleId="Altbilgi">
    <w:name w:val="footer"/>
    <w:basedOn w:val="Normal"/>
    <w:link w:val="AltbilgiChar"/>
    <w:uiPriority w:val="99"/>
    <w:unhideWhenUsed/>
    <w:rsid w:val="003379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37922"/>
  </w:style>
  <w:style w:type="paragraph" w:styleId="BalonMetni">
    <w:name w:val="Balloon Text"/>
    <w:basedOn w:val="Normal"/>
    <w:link w:val="BalonMetniChar"/>
    <w:uiPriority w:val="99"/>
    <w:semiHidden/>
    <w:unhideWhenUsed/>
    <w:rsid w:val="006412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12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6262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62624"/>
    <w:rPr>
      <w:b/>
      <w:bCs/>
    </w:rPr>
  </w:style>
  <w:style w:type="character" w:styleId="Kpr">
    <w:name w:val="Hyperlink"/>
    <w:basedOn w:val="VarsaylanParagrafYazTipi"/>
    <w:uiPriority w:val="99"/>
    <w:unhideWhenUsed/>
    <w:rsid w:val="00662624"/>
    <w:rPr>
      <w:color w:val="0000FF"/>
      <w:u w:val="single"/>
    </w:rPr>
  </w:style>
  <w:style w:type="paragraph" w:styleId="stbilgi">
    <w:name w:val="header"/>
    <w:basedOn w:val="Normal"/>
    <w:link w:val="stbilgiChar"/>
    <w:uiPriority w:val="99"/>
    <w:unhideWhenUsed/>
    <w:rsid w:val="003379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37922"/>
  </w:style>
  <w:style w:type="paragraph" w:styleId="Altbilgi">
    <w:name w:val="footer"/>
    <w:basedOn w:val="Normal"/>
    <w:link w:val="AltbilgiChar"/>
    <w:uiPriority w:val="99"/>
    <w:unhideWhenUsed/>
    <w:rsid w:val="003379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37922"/>
  </w:style>
  <w:style w:type="paragraph" w:styleId="BalonMetni">
    <w:name w:val="Balloon Text"/>
    <w:basedOn w:val="Normal"/>
    <w:link w:val="BalonMetniChar"/>
    <w:uiPriority w:val="99"/>
    <w:semiHidden/>
    <w:unhideWhenUsed/>
    <w:rsid w:val="006412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12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5108">
      <w:bodyDiv w:val="1"/>
      <w:marLeft w:val="0"/>
      <w:marRight w:val="0"/>
      <w:marTop w:val="0"/>
      <w:marBottom w:val="0"/>
      <w:divBdr>
        <w:top w:val="none" w:sz="0" w:space="0" w:color="auto"/>
        <w:left w:val="none" w:sz="0" w:space="0" w:color="auto"/>
        <w:bottom w:val="none" w:sz="0" w:space="0" w:color="auto"/>
        <w:right w:val="none" w:sz="0" w:space="0" w:color="auto"/>
      </w:divBdr>
      <w:divsChild>
        <w:div w:id="55325761">
          <w:marLeft w:val="0"/>
          <w:marRight w:val="0"/>
          <w:marTop w:val="0"/>
          <w:marBottom w:val="0"/>
          <w:divBdr>
            <w:top w:val="none" w:sz="0" w:space="0" w:color="auto"/>
            <w:left w:val="none" w:sz="0" w:space="0" w:color="auto"/>
            <w:bottom w:val="none" w:sz="0" w:space="0" w:color="auto"/>
            <w:right w:val="none" w:sz="0" w:space="0" w:color="auto"/>
          </w:divBdr>
        </w:div>
        <w:div w:id="96298661">
          <w:marLeft w:val="0"/>
          <w:marRight w:val="0"/>
          <w:marTop w:val="0"/>
          <w:marBottom w:val="0"/>
          <w:divBdr>
            <w:top w:val="none" w:sz="0" w:space="0" w:color="auto"/>
            <w:left w:val="none" w:sz="0" w:space="0" w:color="auto"/>
            <w:bottom w:val="none" w:sz="0" w:space="0" w:color="auto"/>
            <w:right w:val="none" w:sz="0" w:space="0" w:color="auto"/>
          </w:divBdr>
        </w:div>
      </w:divsChild>
    </w:div>
    <w:div w:id="572011267">
      <w:bodyDiv w:val="1"/>
      <w:marLeft w:val="0"/>
      <w:marRight w:val="0"/>
      <w:marTop w:val="0"/>
      <w:marBottom w:val="0"/>
      <w:divBdr>
        <w:top w:val="none" w:sz="0" w:space="0" w:color="auto"/>
        <w:left w:val="none" w:sz="0" w:space="0" w:color="auto"/>
        <w:bottom w:val="none" w:sz="0" w:space="0" w:color="auto"/>
        <w:right w:val="none" w:sz="0" w:space="0" w:color="auto"/>
      </w:divBdr>
    </w:div>
    <w:div w:id="1125581713">
      <w:bodyDiv w:val="1"/>
      <w:marLeft w:val="0"/>
      <w:marRight w:val="0"/>
      <w:marTop w:val="0"/>
      <w:marBottom w:val="0"/>
      <w:divBdr>
        <w:top w:val="none" w:sz="0" w:space="0" w:color="auto"/>
        <w:left w:val="none" w:sz="0" w:space="0" w:color="auto"/>
        <w:bottom w:val="none" w:sz="0" w:space="0" w:color="auto"/>
        <w:right w:val="none" w:sz="0" w:space="0" w:color="auto"/>
      </w:divBdr>
    </w:div>
    <w:div w:id="140675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kosgeb.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0787B-A963-4A57-9BA8-326C3ED67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1145</Words>
  <Characters>6530</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KOSGEB01</dc:creator>
  <cp:lastModifiedBy>KOSGEB01</cp:lastModifiedBy>
  <cp:revision>13</cp:revision>
  <cp:lastPrinted>2025-10-07T12:31:00Z</cp:lastPrinted>
  <dcterms:created xsi:type="dcterms:W3CDTF">2025-05-07T12:05:00Z</dcterms:created>
  <dcterms:modified xsi:type="dcterms:W3CDTF">2025-10-08T07:33:00Z</dcterms:modified>
</cp:coreProperties>
</file>