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B06D1" w14:textId="77777777" w:rsidR="00EC13B6" w:rsidRPr="003E71EE" w:rsidRDefault="00DB0BEE" w:rsidP="003E71EE">
      <w:pPr>
        <w:ind w:hanging="426"/>
        <w:jc w:val="center"/>
        <w:rPr>
          <w:rFonts w:ascii="Times New Roman" w:hAnsi="Times New Roman" w:cs="Times New Roman"/>
          <w:b/>
          <w:color w:val="FF0000"/>
          <w:sz w:val="28"/>
          <w:szCs w:val="28"/>
        </w:rPr>
      </w:pPr>
      <w:r>
        <w:rPr>
          <w:rFonts w:ascii="Times New Roman" w:hAnsi="Times New Roman" w:cs="Times New Roman"/>
          <w:b/>
          <w:noProof/>
          <w:color w:val="FF0000"/>
          <w:sz w:val="28"/>
          <w:szCs w:val="28"/>
        </w:rPr>
        <w:drawing>
          <wp:anchor distT="0" distB="0" distL="114300" distR="114300" simplePos="0" relativeHeight="251658240" behindDoc="1" locked="0" layoutInCell="1" allowOverlap="1" wp14:anchorId="48C7CA5D" wp14:editId="33AB1B5E">
            <wp:simplePos x="0" y="0"/>
            <wp:positionH relativeFrom="margin">
              <wp:align>left</wp:align>
            </wp:positionH>
            <wp:positionV relativeFrom="paragraph">
              <wp:posOffset>0</wp:posOffset>
            </wp:positionV>
            <wp:extent cx="865505" cy="853440"/>
            <wp:effectExtent l="0" t="0" r="0" b="381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853440"/>
                    </a:xfrm>
                    <a:prstGeom prst="rect">
                      <a:avLst/>
                    </a:prstGeom>
                    <a:noFill/>
                  </pic:spPr>
                </pic:pic>
              </a:graphicData>
            </a:graphic>
          </wp:anchor>
        </w:drawing>
      </w:r>
      <w:r w:rsidR="00EC13B6" w:rsidRPr="003E71EE">
        <w:rPr>
          <w:rFonts w:ascii="Times New Roman" w:hAnsi="Times New Roman" w:cs="Times New Roman"/>
          <w:b/>
          <w:color w:val="FF0000"/>
          <w:sz w:val="28"/>
          <w:szCs w:val="28"/>
        </w:rPr>
        <w:t xml:space="preserve">7223 SAYILI KANUN KAPSAMINDA </w:t>
      </w:r>
      <w:r w:rsidR="00153A67" w:rsidRPr="003E71EE">
        <w:rPr>
          <w:rFonts w:ascii="Times New Roman" w:hAnsi="Times New Roman" w:cs="Times New Roman"/>
          <w:b/>
          <w:color w:val="FF0000"/>
          <w:sz w:val="28"/>
          <w:szCs w:val="28"/>
        </w:rPr>
        <w:t>İTHALATÇI</w:t>
      </w:r>
      <w:r w:rsidR="00EC13B6" w:rsidRPr="003E71EE">
        <w:rPr>
          <w:rFonts w:ascii="Times New Roman" w:hAnsi="Times New Roman" w:cs="Times New Roman"/>
          <w:b/>
          <w:color w:val="FF0000"/>
          <w:sz w:val="28"/>
          <w:szCs w:val="28"/>
        </w:rPr>
        <w:t xml:space="preserve"> YÜKÜMLÜLÜKLERİ BİLGİLENDİRME FORMU</w:t>
      </w:r>
    </w:p>
    <w:p w14:paraId="2BF15F76" w14:textId="77777777" w:rsidR="003E71EE" w:rsidRDefault="003E71EE" w:rsidP="00E13C1B">
      <w:pPr>
        <w:ind w:hanging="426"/>
        <w:jc w:val="center"/>
        <w:rPr>
          <w:rFonts w:ascii="Times New Roman" w:hAnsi="Times New Roman" w:cs="Times New Roman"/>
          <w:b/>
          <w:color w:val="FF0000"/>
          <w:sz w:val="24"/>
          <w:szCs w:val="24"/>
        </w:rPr>
      </w:pPr>
    </w:p>
    <w:p w14:paraId="65E7FC0B" w14:textId="77777777" w:rsidR="00EC13B6" w:rsidRPr="0030580C" w:rsidRDefault="00EC13B6" w:rsidP="00E13C1B">
      <w:pPr>
        <w:ind w:hanging="426"/>
        <w:jc w:val="center"/>
        <w:rPr>
          <w:rFonts w:ascii="Times New Roman" w:hAnsi="Times New Roman" w:cs="Times New Roman"/>
          <w:b/>
          <w:color w:val="FF0000"/>
          <w:sz w:val="24"/>
          <w:szCs w:val="24"/>
        </w:rPr>
      </w:pPr>
      <w:r w:rsidRPr="0030580C">
        <w:rPr>
          <w:rFonts w:ascii="Times New Roman" w:hAnsi="Times New Roman" w:cs="Times New Roman"/>
          <w:b/>
          <w:color w:val="FF0000"/>
          <w:sz w:val="24"/>
          <w:szCs w:val="24"/>
        </w:rPr>
        <w:t xml:space="preserve">7223 Sayılı Ürün Güvenliği ve Teknik Düzenlemeler Kanunu yürürlüğe </w:t>
      </w:r>
      <w:proofErr w:type="gramStart"/>
      <w:r w:rsidRPr="0030580C">
        <w:rPr>
          <w:rFonts w:ascii="Times New Roman" w:hAnsi="Times New Roman" w:cs="Times New Roman"/>
          <w:b/>
          <w:color w:val="FF0000"/>
          <w:sz w:val="24"/>
          <w:szCs w:val="24"/>
        </w:rPr>
        <w:t>girdi !!!</w:t>
      </w:r>
      <w:proofErr w:type="gramEnd"/>
    </w:p>
    <w:p w14:paraId="0FBD2B75" w14:textId="77777777" w:rsidR="00EC13B6" w:rsidRDefault="00EC13B6" w:rsidP="00EC13B6">
      <w:pPr>
        <w:pStyle w:val="ListeParagraf"/>
        <w:numPr>
          <w:ilvl w:val="0"/>
          <w:numId w:val="5"/>
        </w:numPr>
        <w:ind w:hanging="426"/>
        <w:jc w:val="both"/>
        <w:rPr>
          <w:rFonts w:ascii="Times New Roman" w:hAnsi="Times New Roman" w:cs="Times New Roman"/>
          <w:sz w:val="24"/>
          <w:szCs w:val="24"/>
        </w:rPr>
      </w:pPr>
      <w:r w:rsidRPr="0030580C">
        <w:rPr>
          <w:rFonts w:ascii="Times New Roman" w:hAnsi="Times New Roman" w:cs="Times New Roman"/>
          <w:sz w:val="24"/>
          <w:szCs w:val="24"/>
        </w:rPr>
        <w:t xml:space="preserve">11 </w:t>
      </w:r>
      <w:r w:rsidR="00644CCE">
        <w:rPr>
          <w:rFonts w:ascii="Times New Roman" w:hAnsi="Times New Roman" w:cs="Times New Roman"/>
          <w:sz w:val="24"/>
          <w:szCs w:val="24"/>
        </w:rPr>
        <w:t>Temmuz</w:t>
      </w:r>
      <w:r w:rsidRPr="0030580C">
        <w:rPr>
          <w:rFonts w:ascii="Times New Roman" w:hAnsi="Times New Roman" w:cs="Times New Roman"/>
          <w:sz w:val="24"/>
          <w:szCs w:val="24"/>
        </w:rPr>
        <w:t xml:space="preserve"> 2001 tarihli ve 24459 sayılı Resmi </w:t>
      </w:r>
      <w:proofErr w:type="spellStart"/>
      <w:r w:rsidRPr="0030580C">
        <w:rPr>
          <w:rFonts w:ascii="Times New Roman" w:hAnsi="Times New Roman" w:cs="Times New Roman"/>
          <w:sz w:val="24"/>
          <w:szCs w:val="24"/>
        </w:rPr>
        <w:t>Gazete’de</w:t>
      </w:r>
      <w:proofErr w:type="spellEnd"/>
      <w:r w:rsidRPr="0030580C">
        <w:rPr>
          <w:rFonts w:ascii="Times New Roman" w:hAnsi="Times New Roman" w:cs="Times New Roman"/>
          <w:sz w:val="24"/>
          <w:szCs w:val="24"/>
        </w:rPr>
        <w:t xml:space="preserve"> yayımlanan 4703 sayılı “Ürünlere İlişkin Teknik Mevzuatın Hazırlanması ve Uygulanmasına Dair Kanun” 12 Mart 2021 tarihinde yürürlükten kalkmıştır. </w:t>
      </w:r>
    </w:p>
    <w:p w14:paraId="6738EBD6" w14:textId="77777777" w:rsidR="0030580C" w:rsidRPr="0030580C" w:rsidRDefault="0030580C" w:rsidP="0030580C">
      <w:pPr>
        <w:pStyle w:val="ListeParagraf"/>
        <w:ind w:left="795"/>
        <w:jc w:val="both"/>
        <w:rPr>
          <w:rFonts w:ascii="Times New Roman" w:hAnsi="Times New Roman" w:cs="Times New Roman"/>
          <w:sz w:val="24"/>
          <w:szCs w:val="24"/>
        </w:rPr>
      </w:pPr>
    </w:p>
    <w:p w14:paraId="0DBC63C3" w14:textId="77777777" w:rsidR="00EC13B6" w:rsidRPr="0030580C" w:rsidRDefault="00EC13B6" w:rsidP="00EC13B6">
      <w:pPr>
        <w:pStyle w:val="ListeParagraf"/>
        <w:numPr>
          <w:ilvl w:val="0"/>
          <w:numId w:val="5"/>
        </w:numPr>
        <w:ind w:hanging="426"/>
        <w:jc w:val="both"/>
        <w:rPr>
          <w:rFonts w:ascii="Times New Roman" w:hAnsi="Times New Roman" w:cs="Times New Roman"/>
          <w:sz w:val="24"/>
          <w:szCs w:val="24"/>
        </w:rPr>
      </w:pPr>
      <w:r w:rsidRPr="0030580C">
        <w:rPr>
          <w:rFonts w:ascii="Times New Roman" w:hAnsi="Times New Roman" w:cs="Times New Roman"/>
          <w:sz w:val="24"/>
          <w:szCs w:val="24"/>
        </w:rPr>
        <w:t xml:space="preserve">12 Mart 2020 tarihli ve 31066 sayılı </w:t>
      </w:r>
      <w:proofErr w:type="gramStart"/>
      <w:r w:rsidRPr="0030580C">
        <w:rPr>
          <w:rFonts w:ascii="Times New Roman" w:hAnsi="Times New Roman" w:cs="Times New Roman"/>
          <w:sz w:val="24"/>
          <w:szCs w:val="24"/>
        </w:rPr>
        <w:t>Resmi</w:t>
      </w:r>
      <w:proofErr w:type="gramEnd"/>
      <w:r w:rsidRPr="0030580C">
        <w:rPr>
          <w:rFonts w:ascii="Times New Roman" w:hAnsi="Times New Roman" w:cs="Times New Roman"/>
          <w:sz w:val="24"/>
          <w:szCs w:val="24"/>
        </w:rPr>
        <w:t xml:space="preserve"> </w:t>
      </w:r>
      <w:proofErr w:type="spellStart"/>
      <w:r w:rsidRPr="0030580C">
        <w:rPr>
          <w:rFonts w:ascii="Times New Roman" w:hAnsi="Times New Roman" w:cs="Times New Roman"/>
          <w:sz w:val="24"/>
          <w:szCs w:val="24"/>
        </w:rPr>
        <w:t>Gazete’de</w:t>
      </w:r>
      <w:proofErr w:type="spellEnd"/>
      <w:r w:rsidRPr="0030580C">
        <w:rPr>
          <w:rFonts w:ascii="Times New Roman" w:hAnsi="Times New Roman" w:cs="Times New Roman"/>
          <w:sz w:val="24"/>
          <w:szCs w:val="24"/>
        </w:rPr>
        <w:t xml:space="preserve"> yayımlanan 7223 sayılı “Ürün Güvenliği ve Teknik Düzenlemeler Kanunu” 12 Mart 2021 tarihinden itibaren yürürlüğe girmiştir. Bu Kanun’da: </w:t>
      </w:r>
    </w:p>
    <w:p w14:paraId="0F4BDC5A" w14:textId="77777777" w:rsidR="004F3F1B" w:rsidRPr="004F3F1B" w:rsidRDefault="00EC13B6" w:rsidP="004F3F1B">
      <w:pPr>
        <w:ind w:hanging="426"/>
        <w:jc w:val="both"/>
        <w:rPr>
          <w:rFonts w:ascii="Times New Roman" w:hAnsi="Times New Roman" w:cs="Times New Roman"/>
          <w:b/>
          <w:color w:val="FF0000"/>
          <w:sz w:val="24"/>
          <w:szCs w:val="24"/>
        </w:rPr>
      </w:pPr>
      <w:r w:rsidRPr="0030580C">
        <w:rPr>
          <w:rFonts w:ascii="Times New Roman" w:hAnsi="Times New Roman" w:cs="Times New Roman"/>
          <w:sz w:val="24"/>
          <w:szCs w:val="24"/>
        </w:rPr>
        <w:t xml:space="preserve"> </w:t>
      </w:r>
      <w:r w:rsidR="004F3F1B" w:rsidRPr="004F3F1B">
        <w:rPr>
          <w:rFonts w:ascii="Times New Roman" w:hAnsi="Times New Roman" w:cs="Times New Roman"/>
          <w:b/>
          <w:color w:val="FF0000"/>
          <w:sz w:val="24"/>
          <w:szCs w:val="24"/>
        </w:rPr>
        <w:t xml:space="preserve">İTHALATÇI YÜKÜMLÜLÜKLERİ </w:t>
      </w:r>
    </w:p>
    <w:p w14:paraId="6C51181F" w14:textId="77777777" w:rsidR="007C086E" w:rsidRDefault="004F3F1B" w:rsidP="007C086E">
      <w:pPr>
        <w:jc w:val="both"/>
        <w:rPr>
          <w:rFonts w:ascii="Times New Roman" w:hAnsi="Times New Roman" w:cs="Times New Roman"/>
          <w:b/>
          <w:sz w:val="24"/>
          <w:szCs w:val="24"/>
        </w:rPr>
      </w:pPr>
      <w:proofErr w:type="gramStart"/>
      <w:r w:rsidRPr="007C086E">
        <w:rPr>
          <w:rFonts w:ascii="Times New Roman" w:hAnsi="Times New Roman" w:cs="Times New Roman"/>
          <w:b/>
          <w:sz w:val="24"/>
          <w:szCs w:val="24"/>
        </w:rPr>
        <w:t>İthalatçı,;</w:t>
      </w:r>
      <w:proofErr w:type="gramEnd"/>
      <w:r w:rsidRPr="007C086E">
        <w:rPr>
          <w:rFonts w:ascii="Times New Roman" w:hAnsi="Times New Roman" w:cs="Times New Roman"/>
          <w:b/>
          <w:sz w:val="24"/>
          <w:szCs w:val="24"/>
        </w:rPr>
        <w:t xml:space="preserve"> piyasaya ancak teknik düzenlemesine veya genel ürün güvenliği mevzuatına uygun ürünleri arz eder, </w:t>
      </w:r>
    </w:p>
    <w:p w14:paraId="7E175CA3" w14:textId="77777777" w:rsidR="007C086E" w:rsidRDefault="004F3F1B" w:rsidP="007C086E">
      <w:pPr>
        <w:pStyle w:val="ListeParagraf"/>
        <w:numPr>
          <w:ilvl w:val="0"/>
          <w:numId w:val="9"/>
        </w:numPr>
        <w:jc w:val="both"/>
        <w:rPr>
          <w:rFonts w:ascii="Times New Roman" w:hAnsi="Times New Roman" w:cs="Times New Roman"/>
          <w:b/>
          <w:sz w:val="24"/>
          <w:szCs w:val="24"/>
        </w:rPr>
      </w:pPr>
      <w:r w:rsidRPr="007C086E">
        <w:rPr>
          <w:rFonts w:ascii="Times New Roman" w:hAnsi="Times New Roman" w:cs="Times New Roman"/>
          <w:b/>
          <w:sz w:val="24"/>
          <w:szCs w:val="24"/>
        </w:rPr>
        <w:t xml:space="preserve">Ürünü piyasaya arz etmeden önce, ürünün uygunluk işareti veya işaretlerini taşıdığını, ürüne gerekli belgelerin eşlik ettiğini ve imalatçının aşağıdaki yükümlülükleri yerine getirdiğini teyit eder; </w:t>
      </w:r>
    </w:p>
    <w:p w14:paraId="6149D153" w14:textId="77777777" w:rsidR="007C086E" w:rsidRDefault="004F3F1B" w:rsidP="00D54B36">
      <w:pPr>
        <w:pStyle w:val="ListeParagraf"/>
        <w:numPr>
          <w:ilvl w:val="0"/>
          <w:numId w:val="11"/>
        </w:numPr>
        <w:ind w:left="1418" w:hanging="284"/>
        <w:jc w:val="both"/>
        <w:rPr>
          <w:rFonts w:ascii="Times New Roman" w:hAnsi="Times New Roman" w:cs="Times New Roman"/>
          <w:b/>
          <w:sz w:val="24"/>
          <w:szCs w:val="24"/>
        </w:rPr>
      </w:pPr>
      <w:r w:rsidRPr="007C086E">
        <w:rPr>
          <w:rFonts w:ascii="Times New Roman" w:hAnsi="Times New Roman" w:cs="Times New Roman"/>
          <w:b/>
          <w:sz w:val="24"/>
          <w:szCs w:val="24"/>
        </w:rPr>
        <w:t xml:space="preserve">Teknik dosyayı tanzim ettiğini, </w:t>
      </w:r>
    </w:p>
    <w:p w14:paraId="67F03D95" w14:textId="77777777" w:rsidR="007C086E" w:rsidRDefault="004F3F1B" w:rsidP="00D54B36">
      <w:pPr>
        <w:pStyle w:val="ListeParagraf"/>
        <w:numPr>
          <w:ilvl w:val="0"/>
          <w:numId w:val="11"/>
        </w:numPr>
        <w:ind w:left="1418" w:hanging="284"/>
        <w:jc w:val="both"/>
        <w:rPr>
          <w:rFonts w:ascii="Times New Roman" w:hAnsi="Times New Roman" w:cs="Times New Roman"/>
          <w:b/>
          <w:sz w:val="24"/>
          <w:szCs w:val="24"/>
        </w:rPr>
      </w:pPr>
      <w:r w:rsidRPr="007C086E">
        <w:rPr>
          <w:rFonts w:ascii="Times New Roman" w:hAnsi="Times New Roman" w:cs="Times New Roman"/>
          <w:b/>
          <w:sz w:val="24"/>
          <w:szCs w:val="24"/>
        </w:rPr>
        <w:t xml:space="preserve">Uygunluk değerlendirme işlemini yaptığını/yaptırdığını,  </w:t>
      </w:r>
    </w:p>
    <w:p w14:paraId="06777492" w14:textId="77777777" w:rsidR="007C086E" w:rsidRDefault="004F3F1B" w:rsidP="00D54B36">
      <w:pPr>
        <w:pStyle w:val="ListeParagraf"/>
        <w:numPr>
          <w:ilvl w:val="0"/>
          <w:numId w:val="11"/>
        </w:numPr>
        <w:ind w:left="1418" w:hanging="284"/>
        <w:jc w:val="both"/>
        <w:rPr>
          <w:rFonts w:ascii="Times New Roman" w:hAnsi="Times New Roman" w:cs="Times New Roman"/>
          <w:b/>
          <w:sz w:val="24"/>
          <w:szCs w:val="24"/>
        </w:rPr>
      </w:pPr>
      <w:r w:rsidRPr="007C086E">
        <w:rPr>
          <w:rFonts w:ascii="Times New Roman" w:hAnsi="Times New Roman" w:cs="Times New Roman"/>
          <w:b/>
          <w:sz w:val="24"/>
          <w:szCs w:val="24"/>
        </w:rPr>
        <w:t xml:space="preserve">Uygunluk beyanını veya uygunluğu gösteren diğer belgeleri düzenlediğini, </w:t>
      </w:r>
    </w:p>
    <w:p w14:paraId="2FBFA6AF" w14:textId="77777777" w:rsidR="007C086E" w:rsidRDefault="004F3F1B" w:rsidP="00D54B36">
      <w:pPr>
        <w:pStyle w:val="ListeParagraf"/>
        <w:numPr>
          <w:ilvl w:val="0"/>
          <w:numId w:val="11"/>
        </w:numPr>
        <w:ind w:left="1418" w:hanging="284"/>
        <w:jc w:val="both"/>
        <w:rPr>
          <w:rFonts w:ascii="Times New Roman" w:hAnsi="Times New Roman" w:cs="Times New Roman"/>
          <w:b/>
          <w:sz w:val="24"/>
          <w:szCs w:val="24"/>
        </w:rPr>
      </w:pPr>
      <w:r w:rsidRPr="007C086E">
        <w:rPr>
          <w:rFonts w:ascii="Times New Roman" w:hAnsi="Times New Roman" w:cs="Times New Roman"/>
          <w:b/>
          <w:sz w:val="24"/>
          <w:szCs w:val="24"/>
        </w:rPr>
        <w:t xml:space="preserve">Uygunluk işaretini ürüne koyduğunu, </w:t>
      </w:r>
    </w:p>
    <w:p w14:paraId="666A5067" w14:textId="77777777" w:rsidR="007C086E" w:rsidRDefault="004F3F1B" w:rsidP="00D54B36">
      <w:pPr>
        <w:pStyle w:val="ListeParagraf"/>
        <w:numPr>
          <w:ilvl w:val="0"/>
          <w:numId w:val="11"/>
        </w:numPr>
        <w:ind w:left="1418" w:hanging="284"/>
        <w:jc w:val="both"/>
        <w:rPr>
          <w:rFonts w:ascii="Times New Roman" w:hAnsi="Times New Roman" w:cs="Times New Roman"/>
          <w:b/>
          <w:sz w:val="24"/>
          <w:szCs w:val="24"/>
        </w:rPr>
      </w:pPr>
      <w:r w:rsidRPr="007C086E">
        <w:rPr>
          <w:rFonts w:ascii="Times New Roman" w:hAnsi="Times New Roman" w:cs="Times New Roman"/>
          <w:b/>
          <w:sz w:val="24"/>
          <w:szCs w:val="24"/>
        </w:rPr>
        <w:t xml:space="preserve">Teknik mevzuatın gerektirdiği işaretlemelerin/bilgilerin (model, parti ve seri numarası veya ayırt edilmesini sağlayacak diğer bilgiler) kolayca görülebilir ve okunabilir şekilde ürüne koyduğunu, </w:t>
      </w:r>
    </w:p>
    <w:p w14:paraId="179B6E8A" w14:textId="77777777" w:rsidR="007C086E" w:rsidRDefault="004F3F1B" w:rsidP="00D54B36">
      <w:pPr>
        <w:pStyle w:val="ListeParagraf"/>
        <w:numPr>
          <w:ilvl w:val="0"/>
          <w:numId w:val="11"/>
        </w:numPr>
        <w:ind w:left="1418" w:hanging="284"/>
        <w:jc w:val="both"/>
        <w:rPr>
          <w:rFonts w:ascii="Times New Roman" w:hAnsi="Times New Roman" w:cs="Times New Roman"/>
          <w:b/>
          <w:sz w:val="24"/>
          <w:szCs w:val="24"/>
        </w:rPr>
      </w:pPr>
      <w:r w:rsidRPr="007C086E">
        <w:rPr>
          <w:rFonts w:ascii="Times New Roman" w:hAnsi="Times New Roman" w:cs="Times New Roman"/>
          <w:b/>
          <w:sz w:val="24"/>
          <w:szCs w:val="24"/>
        </w:rPr>
        <w:t xml:space="preserve">İsmini, kayıtlı ticari unvanını veya markasını ve kendisine ulaşılabilecek açık adresini ürünün üzerinde, bunun mümkün olmadığı durumlarda ürünün ambalajında veya ürüne eşlik eden bir belgede belirttiğini. </w:t>
      </w:r>
    </w:p>
    <w:p w14:paraId="40EC65EC" w14:textId="77777777" w:rsidR="007C086E" w:rsidRDefault="004F3F1B" w:rsidP="007C086E">
      <w:pPr>
        <w:pStyle w:val="ListeParagraf"/>
        <w:numPr>
          <w:ilvl w:val="0"/>
          <w:numId w:val="9"/>
        </w:numPr>
        <w:jc w:val="both"/>
        <w:rPr>
          <w:rFonts w:ascii="Times New Roman" w:hAnsi="Times New Roman" w:cs="Times New Roman"/>
          <w:b/>
          <w:sz w:val="24"/>
          <w:szCs w:val="24"/>
        </w:rPr>
      </w:pPr>
      <w:r w:rsidRPr="007C086E">
        <w:rPr>
          <w:rFonts w:ascii="Times New Roman" w:hAnsi="Times New Roman" w:cs="Times New Roman"/>
          <w:b/>
          <w:sz w:val="24"/>
          <w:szCs w:val="24"/>
        </w:rPr>
        <w:t xml:space="preserve">Ürünün uygun olmadığını bildiği veya bilmesinin gerektiği durumlarda, uygun hale getirilmeden ürünü piyasaya arz edemez ve ürünün risk taşıdığı her durumda imalatçıyı ve yetkili kuruluşu bilgilendirir, </w:t>
      </w:r>
    </w:p>
    <w:p w14:paraId="480ED4A4" w14:textId="77777777" w:rsidR="007C086E" w:rsidRDefault="004F3F1B" w:rsidP="007C086E">
      <w:pPr>
        <w:pStyle w:val="ListeParagraf"/>
        <w:numPr>
          <w:ilvl w:val="0"/>
          <w:numId w:val="9"/>
        </w:numPr>
        <w:jc w:val="both"/>
        <w:rPr>
          <w:rFonts w:ascii="Times New Roman" w:hAnsi="Times New Roman" w:cs="Times New Roman"/>
          <w:b/>
          <w:sz w:val="24"/>
          <w:szCs w:val="24"/>
        </w:rPr>
      </w:pPr>
      <w:r w:rsidRPr="007C086E">
        <w:rPr>
          <w:rFonts w:ascii="Times New Roman" w:hAnsi="Times New Roman" w:cs="Times New Roman"/>
          <w:b/>
          <w:sz w:val="24"/>
          <w:szCs w:val="24"/>
        </w:rPr>
        <w:t>Mevzuatın gerektirdiği hallerde ismini, kayıtlı ticari unvanını veya markasını ve kendisine ulaşılabilecek açık adresini ürünün üzerinde, bunun mümkün olmadığı durumlarda ürünün ambalajında veya ürüne eşlik eden bir belgede belirtir. Bu yükümlülüğü, imalatçı tarafından belirtilen zorunlu veya ürün güvenliğine ilişkin bilgilerin görünürlüğünü engellemeden yerine getirir,</w:t>
      </w:r>
    </w:p>
    <w:p w14:paraId="7C008379" w14:textId="77777777" w:rsidR="007C086E" w:rsidRDefault="004F3F1B" w:rsidP="007C086E">
      <w:pPr>
        <w:pStyle w:val="ListeParagraf"/>
        <w:numPr>
          <w:ilvl w:val="0"/>
          <w:numId w:val="9"/>
        </w:numPr>
        <w:jc w:val="both"/>
        <w:rPr>
          <w:rFonts w:ascii="Times New Roman" w:hAnsi="Times New Roman" w:cs="Times New Roman"/>
          <w:b/>
          <w:sz w:val="24"/>
          <w:szCs w:val="24"/>
        </w:rPr>
      </w:pPr>
      <w:r w:rsidRPr="007C086E">
        <w:rPr>
          <w:rFonts w:ascii="Times New Roman" w:hAnsi="Times New Roman" w:cs="Times New Roman"/>
          <w:b/>
          <w:sz w:val="24"/>
          <w:szCs w:val="24"/>
        </w:rPr>
        <w:t xml:space="preserve">Ürünün taşıyabileceği risklere karşı gereken tedbirleri alır ve bunlardan sakınabilmeleri için nihai kullanıcılara gerekli bilgileri sağlar, </w:t>
      </w:r>
    </w:p>
    <w:p w14:paraId="3AC0A860" w14:textId="77777777" w:rsidR="007C086E" w:rsidRDefault="004F3F1B" w:rsidP="007C086E">
      <w:pPr>
        <w:pStyle w:val="ListeParagraf"/>
        <w:numPr>
          <w:ilvl w:val="0"/>
          <w:numId w:val="9"/>
        </w:numPr>
        <w:jc w:val="both"/>
        <w:rPr>
          <w:rFonts w:ascii="Times New Roman" w:hAnsi="Times New Roman" w:cs="Times New Roman"/>
          <w:b/>
          <w:sz w:val="24"/>
          <w:szCs w:val="24"/>
        </w:rPr>
      </w:pPr>
      <w:r w:rsidRPr="007C086E">
        <w:rPr>
          <w:rFonts w:ascii="Times New Roman" w:hAnsi="Times New Roman" w:cs="Times New Roman"/>
          <w:b/>
          <w:sz w:val="24"/>
          <w:szCs w:val="24"/>
        </w:rPr>
        <w:t xml:space="preserve">Ürün veya ambalajının üzerinde veya ürüne eşlik eden belgelerde yer alan risklerin/korunma tedbirlerinin ve montaj, kullanım ve bakım talimatları ile güvenlik kurallarının Türkçe olmasını sağlar, </w:t>
      </w:r>
    </w:p>
    <w:p w14:paraId="0C08489D" w14:textId="77777777" w:rsidR="007C086E" w:rsidRDefault="004F3F1B" w:rsidP="007C086E">
      <w:pPr>
        <w:pStyle w:val="ListeParagraf"/>
        <w:numPr>
          <w:ilvl w:val="0"/>
          <w:numId w:val="9"/>
        </w:numPr>
        <w:jc w:val="both"/>
        <w:rPr>
          <w:rFonts w:ascii="Times New Roman" w:hAnsi="Times New Roman" w:cs="Times New Roman"/>
          <w:b/>
          <w:sz w:val="24"/>
          <w:szCs w:val="24"/>
        </w:rPr>
      </w:pPr>
      <w:r w:rsidRPr="007C086E">
        <w:rPr>
          <w:rFonts w:ascii="Times New Roman" w:hAnsi="Times New Roman" w:cs="Times New Roman"/>
          <w:b/>
          <w:sz w:val="24"/>
          <w:szCs w:val="24"/>
        </w:rPr>
        <w:t xml:space="preserve">Ürün kendi sorumluluğu altındayken, depolama ve nakliye şartlarının ürünün teknik düzenlemesine veya genel ürün güvenliği mevzuatına uygunluğuna halel gelmemesini sağlar, </w:t>
      </w:r>
    </w:p>
    <w:p w14:paraId="34D66B6E" w14:textId="77777777" w:rsidR="007C086E" w:rsidRDefault="004F3F1B" w:rsidP="007C086E">
      <w:pPr>
        <w:pStyle w:val="ListeParagraf"/>
        <w:numPr>
          <w:ilvl w:val="0"/>
          <w:numId w:val="9"/>
        </w:numPr>
        <w:jc w:val="both"/>
        <w:rPr>
          <w:rFonts w:ascii="Times New Roman" w:hAnsi="Times New Roman" w:cs="Times New Roman"/>
          <w:b/>
          <w:sz w:val="24"/>
          <w:szCs w:val="24"/>
        </w:rPr>
      </w:pPr>
      <w:r w:rsidRPr="007C086E">
        <w:rPr>
          <w:rFonts w:ascii="Times New Roman" w:hAnsi="Times New Roman" w:cs="Times New Roman"/>
          <w:b/>
          <w:sz w:val="24"/>
          <w:szCs w:val="24"/>
        </w:rPr>
        <w:lastRenderedPageBreak/>
        <w:t>Taşıdıkları muhtemel risklerle orantılı olarak piyasada bulundurulan ürünlerinden numune alarak test eder, inceleme yapar, şikâyetlerin, uygun olmayan ve geri çağrılan ürünlerin kaydını tutar ve yaptığı izleme faaliyetleri hakkında imalatçı ve dağıtıcıları bilgilendirir,</w:t>
      </w:r>
    </w:p>
    <w:p w14:paraId="20E41DE0" w14:textId="77777777" w:rsidR="004F3F1B" w:rsidRPr="007C086E" w:rsidRDefault="004F3F1B" w:rsidP="007C086E">
      <w:pPr>
        <w:pStyle w:val="ListeParagraf"/>
        <w:numPr>
          <w:ilvl w:val="0"/>
          <w:numId w:val="9"/>
        </w:numPr>
        <w:jc w:val="both"/>
        <w:rPr>
          <w:rFonts w:ascii="Times New Roman" w:hAnsi="Times New Roman" w:cs="Times New Roman"/>
          <w:b/>
          <w:sz w:val="24"/>
          <w:szCs w:val="24"/>
        </w:rPr>
      </w:pPr>
      <w:r w:rsidRPr="007C086E">
        <w:rPr>
          <w:rFonts w:ascii="Times New Roman" w:hAnsi="Times New Roman" w:cs="Times New Roman"/>
          <w:b/>
          <w:sz w:val="24"/>
          <w:szCs w:val="24"/>
        </w:rPr>
        <w:t xml:space="preserve">Piyasaya arz etmiş olduğu bir ürünün uygun olmadığını tespit ettiği/öğrendiği/bilmesi gerektiği durumda Kanun’da belirtilen önlemleri ivedi alır ve ivedilikle yetkili kuruluşu bilgilendirir, </w:t>
      </w:r>
    </w:p>
    <w:p w14:paraId="6A5AD5B7" w14:textId="77777777" w:rsidR="007C086E" w:rsidRDefault="004F3F1B" w:rsidP="007C086E">
      <w:pPr>
        <w:pStyle w:val="ListeParagraf"/>
        <w:numPr>
          <w:ilvl w:val="0"/>
          <w:numId w:val="9"/>
        </w:numPr>
        <w:jc w:val="both"/>
        <w:rPr>
          <w:rFonts w:ascii="Times New Roman" w:hAnsi="Times New Roman" w:cs="Times New Roman"/>
          <w:b/>
          <w:sz w:val="24"/>
          <w:szCs w:val="24"/>
        </w:rPr>
      </w:pPr>
      <w:r w:rsidRPr="007C086E">
        <w:rPr>
          <w:rFonts w:ascii="Times New Roman" w:hAnsi="Times New Roman" w:cs="Times New Roman"/>
          <w:b/>
          <w:sz w:val="24"/>
          <w:szCs w:val="24"/>
        </w:rPr>
        <w:t xml:space="preserve">Mevzuatın gerektirdiği ve ürünün uygunluğunu gösteren belgelerin bir örneğini teknik düzenlemede belirtilen süre, süre belirtilmemiş ise ürünün ithal edildiği tarihten itibaren en az on yıl boyunca yetkili kuruluşun talebi halinde Türkçe veya yetkili kuruluşun kabul edeceği diğer bir dilde sağlar. </w:t>
      </w:r>
    </w:p>
    <w:p w14:paraId="39C5C84A" w14:textId="77777777" w:rsidR="007C086E" w:rsidRDefault="004F3F1B" w:rsidP="007C086E">
      <w:pPr>
        <w:pStyle w:val="ListeParagraf"/>
        <w:numPr>
          <w:ilvl w:val="0"/>
          <w:numId w:val="9"/>
        </w:numPr>
        <w:jc w:val="both"/>
        <w:rPr>
          <w:rFonts w:ascii="Times New Roman" w:hAnsi="Times New Roman" w:cs="Times New Roman"/>
          <w:b/>
          <w:sz w:val="24"/>
          <w:szCs w:val="24"/>
        </w:rPr>
      </w:pPr>
      <w:r w:rsidRPr="007C086E">
        <w:rPr>
          <w:rFonts w:ascii="Times New Roman" w:hAnsi="Times New Roman" w:cs="Times New Roman"/>
          <w:b/>
          <w:sz w:val="24"/>
          <w:szCs w:val="24"/>
        </w:rPr>
        <w:t xml:space="preserve">Piyasaya arz ettiği ürünlerin taşıdığı risklerin ortadan kaldırılması amacıyla yapılan faaliyetlerde yetkili kuruluşun talimatlarını yerine getirir, </w:t>
      </w:r>
    </w:p>
    <w:p w14:paraId="73A18D8E" w14:textId="77777777" w:rsidR="007C086E" w:rsidRDefault="004F3F1B" w:rsidP="007C086E">
      <w:pPr>
        <w:pStyle w:val="ListeParagraf"/>
        <w:numPr>
          <w:ilvl w:val="0"/>
          <w:numId w:val="9"/>
        </w:numPr>
        <w:jc w:val="both"/>
        <w:rPr>
          <w:rFonts w:ascii="Times New Roman" w:hAnsi="Times New Roman" w:cs="Times New Roman"/>
          <w:b/>
          <w:sz w:val="24"/>
          <w:szCs w:val="24"/>
        </w:rPr>
      </w:pPr>
      <w:r w:rsidRPr="007C086E">
        <w:rPr>
          <w:rFonts w:ascii="Times New Roman" w:hAnsi="Times New Roman" w:cs="Times New Roman"/>
          <w:b/>
          <w:sz w:val="24"/>
          <w:szCs w:val="24"/>
        </w:rPr>
        <w:t xml:space="preserve">İlgili teknik düzenlemenin gerektirdiği hallerde ve öngördüğü usuller çerçevesinde resmî kayıt işlemlerini yapar/yaptırır, </w:t>
      </w:r>
    </w:p>
    <w:p w14:paraId="17C07627" w14:textId="77777777" w:rsidR="007C086E" w:rsidRDefault="004F3F1B" w:rsidP="007C086E">
      <w:pPr>
        <w:pStyle w:val="ListeParagraf"/>
        <w:numPr>
          <w:ilvl w:val="0"/>
          <w:numId w:val="9"/>
        </w:numPr>
        <w:jc w:val="both"/>
        <w:rPr>
          <w:rFonts w:ascii="Times New Roman" w:hAnsi="Times New Roman" w:cs="Times New Roman"/>
          <w:b/>
          <w:sz w:val="24"/>
          <w:szCs w:val="24"/>
        </w:rPr>
      </w:pPr>
      <w:r w:rsidRPr="007C086E">
        <w:rPr>
          <w:rFonts w:ascii="Times New Roman" w:hAnsi="Times New Roman" w:cs="Times New Roman"/>
          <w:b/>
          <w:sz w:val="24"/>
          <w:szCs w:val="24"/>
        </w:rPr>
        <w:t xml:space="preserve">Yetkili kuruluşun piyasa gözetimi ve denetimi (PGD) faaliyetinde ithalatçı dışında numune alması durumunda numune bedelini, numunenin alındığı gerçek veya tüzel kişiye öder, </w:t>
      </w:r>
    </w:p>
    <w:p w14:paraId="4D81697E" w14:textId="77777777" w:rsidR="004F3F1B" w:rsidRPr="007C086E" w:rsidRDefault="004F3F1B" w:rsidP="007C086E">
      <w:pPr>
        <w:pStyle w:val="ListeParagraf"/>
        <w:numPr>
          <w:ilvl w:val="0"/>
          <w:numId w:val="9"/>
        </w:numPr>
        <w:jc w:val="both"/>
        <w:rPr>
          <w:rFonts w:ascii="Times New Roman" w:hAnsi="Times New Roman" w:cs="Times New Roman"/>
          <w:b/>
          <w:sz w:val="24"/>
          <w:szCs w:val="24"/>
        </w:rPr>
      </w:pPr>
      <w:r w:rsidRPr="007C086E">
        <w:rPr>
          <w:rFonts w:ascii="Times New Roman" w:hAnsi="Times New Roman" w:cs="Times New Roman"/>
          <w:b/>
          <w:sz w:val="24"/>
          <w:szCs w:val="24"/>
        </w:rPr>
        <w:t xml:space="preserve">Tedarik zincirinde yer alan bir önceki ve varsa bir sonraki iktisadi işletmecinin ismi, ticari unvanı veya markası ve irtibat bilgileri ile ürünün takibini kolaylaştıracak diğer bilgilerin kaydını düzenli bir şekilde tutar, ürünü piyasaya arz ettikleri veya piyasada bulundurmaya başladıkları tarihten itibaren en az on yıl boyunca muhafaza eder ve yetkili kuruluşun talebi halinde sunar (Bu yükümlülükler, ürünü elektronik ortamda piyasaya arz eden veya bulunduranlar, başkalarına ait iktisadi ve ticari faaliyetlerin yapılmasına elektronik ticaret ortamını sağlayan aracı hizmet sağlayıcıları ile radyo ve televizyon gibi medya hizmet sağlayıcıları için de geçerlidir). </w:t>
      </w:r>
    </w:p>
    <w:p w14:paraId="78B8F0DE" w14:textId="77777777" w:rsidR="007C086E" w:rsidRPr="007C086E" w:rsidRDefault="004F3F1B" w:rsidP="004F3F1B">
      <w:pPr>
        <w:ind w:hanging="426"/>
        <w:jc w:val="both"/>
        <w:rPr>
          <w:rFonts w:ascii="Times New Roman" w:hAnsi="Times New Roman" w:cs="Times New Roman"/>
          <w:b/>
          <w:color w:val="FF0000"/>
          <w:sz w:val="24"/>
          <w:szCs w:val="24"/>
        </w:rPr>
      </w:pPr>
      <w:r w:rsidRPr="007C086E">
        <w:rPr>
          <w:rFonts w:ascii="Times New Roman" w:hAnsi="Times New Roman" w:cs="Times New Roman"/>
          <w:b/>
          <w:color w:val="FF0000"/>
          <w:sz w:val="24"/>
          <w:szCs w:val="24"/>
        </w:rPr>
        <w:t xml:space="preserve">ÜRÜN SORUMLULUĞU TAZMİNATI </w:t>
      </w:r>
    </w:p>
    <w:p w14:paraId="69FD7CA4" w14:textId="77777777" w:rsidR="00D54B36" w:rsidRDefault="004F3F1B" w:rsidP="007C086E">
      <w:pPr>
        <w:pStyle w:val="ListeParagraf"/>
        <w:numPr>
          <w:ilvl w:val="0"/>
          <w:numId w:val="10"/>
        </w:numPr>
        <w:jc w:val="both"/>
        <w:rPr>
          <w:rFonts w:ascii="Times New Roman" w:hAnsi="Times New Roman" w:cs="Times New Roman"/>
          <w:b/>
          <w:sz w:val="24"/>
          <w:szCs w:val="24"/>
        </w:rPr>
      </w:pPr>
      <w:r w:rsidRPr="007C086E">
        <w:rPr>
          <w:rFonts w:ascii="Times New Roman" w:hAnsi="Times New Roman" w:cs="Times New Roman"/>
          <w:b/>
          <w:sz w:val="24"/>
          <w:szCs w:val="24"/>
        </w:rPr>
        <w:t xml:space="preserve">Ürünün, bir kişiye veya bir mala zarar vermesi halinde, bu ürünün imalatçısı veya ithalatçısı zararı gidermekle yükümlüdür. </w:t>
      </w:r>
    </w:p>
    <w:p w14:paraId="3CA3937E" w14:textId="77777777" w:rsidR="00D54B36" w:rsidRDefault="004F3F1B" w:rsidP="007C086E">
      <w:pPr>
        <w:pStyle w:val="ListeParagraf"/>
        <w:numPr>
          <w:ilvl w:val="0"/>
          <w:numId w:val="10"/>
        </w:numPr>
        <w:jc w:val="both"/>
        <w:rPr>
          <w:rFonts w:ascii="Times New Roman" w:hAnsi="Times New Roman" w:cs="Times New Roman"/>
          <w:b/>
          <w:sz w:val="24"/>
          <w:szCs w:val="24"/>
        </w:rPr>
      </w:pPr>
      <w:r w:rsidRPr="007C086E">
        <w:rPr>
          <w:rFonts w:ascii="Times New Roman" w:hAnsi="Times New Roman" w:cs="Times New Roman"/>
          <w:b/>
          <w:sz w:val="24"/>
          <w:szCs w:val="24"/>
        </w:rPr>
        <w:t xml:space="preserve">Ürünün sebep olduğu zarardan birden fazla imalatçı veya ithalatçının sorumlu olması halinde, bunlar </w:t>
      </w:r>
      <w:proofErr w:type="spellStart"/>
      <w:r w:rsidRPr="007C086E">
        <w:rPr>
          <w:rFonts w:ascii="Times New Roman" w:hAnsi="Times New Roman" w:cs="Times New Roman"/>
          <w:b/>
          <w:sz w:val="24"/>
          <w:szCs w:val="24"/>
        </w:rPr>
        <w:t>müteselsilen</w:t>
      </w:r>
      <w:proofErr w:type="spellEnd"/>
      <w:r w:rsidRPr="007C086E">
        <w:rPr>
          <w:rFonts w:ascii="Times New Roman" w:hAnsi="Times New Roman" w:cs="Times New Roman"/>
          <w:b/>
          <w:sz w:val="24"/>
          <w:szCs w:val="24"/>
        </w:rPr>
        <w:t xml:space="preserve"> sorumlu tutulurlar. </w:t>
      </w:r>
    </w:p>
    <w:p w14:paraId="6A5E2289" w14:textId="77777777" w:rsidR="00D54B36" w:rsidRDefault="004F3F1B" w:rsidP="007C086E">
      <w:pPr>
        <w:pStyle w:val="ListeParagraf"/>
        <w:numPr>
          <w:ilvl w:val="0"/>
          <w:numId w:val="10"/>
        </w:numPr>
        <w:jc w:val="both"/>
        <w:rPr>
          <w:rFonts w:ascii="Times New Roman" w:hAnsi="Times New Roman" w:cs="Times New Roman"/>
          <w:b/>
          <w:sz w:val="24"/>
          <w:szCs w:val="24"/>
        </w:rPr>
      </w:pPr>
      <w:r w:rsidRPr="007C086E">
        <w:rPr>
          <w:rFonts w:ascii="Times New Roman" w:hAnsi="Times New Roman" w:cs="Times New Roman"/>
          <w:b/>
          <w:sz w:val="24"/>
          <w:szCs w:val="24"/>
        </w:rPr>
        <w:t xml:space="preserve">İmalatçı veya ithalatçıyı üründen kaynaklanan tazminat sorumluluğundan kurtaran ya da bu sorumluluğu azaltan sözleşmelerin ilgili maddeleri hükümsüzdür. </w:t>
      </w:r>
    </w:p>
    <w:p w14:paraId="385FD2D6" w14:textId="77777777" w:rsidR="00D54B36" w:rsidRDefault="004F3F1B" w:rsidP="007C086E">
      <w:pPr>
        <w:pStyle w:val="ListeParagraf"/>
        <w:numPr>
          <w:ilvl w:val="0"/>
          <w:numId w:val="10"/>
        </w:numPr>
        <w:jc w:val="both"/>
        <w:rPr>
          <w:rFonts w:ascii="Times New Roman" w:hAnsi="Times New Roman" w:cs="Times New Roman"/>
          <w:b/>
          <w:sz w:val="24"/>
          <w:szCs w:val="24"/>
        </w:rPr>
      </w:pPr>
      <w:r w:rsidRPr="007C086E">
        <w:rPr>
          <w:rFonts w:ascii="Times New Roman" w:hAnsi="Times New Roman" w:cs="Times New Roman"/>
          <w:b/>
          <w:sz w:val="24"/>
          <w:szCs w:val="24"/>
        </w:rPr>
        <w:t xml:space="preserve">Ürünün sebep olduğu zarar nedeniyle ödenecek maddi ve manevi tazminat miktarının belirlenmesinde 11/1/2011 tarihli ve 6098 sayılı Türk Borçlar Kanunu hükümleri uygulanır. </w:t>
      </w:r>
    </w:p>
    <w:p w14:paraId="4F283941" w14:textId="77777777" w:rsidR="004F3F1B" w:rsidRPr="007C086E" w:rsidRDefault="004F3F1B" w:rsidP="007C086E">
      <w:pPr>
        <w:pStyle w:val="ListeParagraf"/>
        <w:numPr>
          <w:ilvl w:val="0"/>
          <w:numId w:val="10"/>
        </w:numPr>
        <w:jc w:val="both"/>
        <w:rPr>
          <w:rFonts w:ascii="Times New Roman" w:hAnsi="Times New Roman" w:cs="Times New Roman"/>
          <w:b/>
          <w:sz w:val="24"/>
          <w:szCs w:val="24"/>
        </w:rPr>
      </w:pPr>
      <w:r w:rsidRPr="007C086E">
        <w:rPr>
          <w:rFonts w:ascii="Times New Roman" w:hAnsi="Times New Roman" w:cs="Times New Roman"/>
          <w:b/>
          <w:sz w:val="24"/>
          <w:szCs w:val="24"/>
        </w:rPr>
        <w:t xml:space="preserve">Tazminat talebi için zamanaşımı süresi, zarar görenin zararı ve tazminat yükümlüsünü öğrendiği tarihten itibaren üç yıl ve her halde zararın doğduğu tarihten itibaren on yıldır. </w:t>
      </w:r>
      <w:r w:rsidRPr="007C086E">
        <w:rPr>
          <w:rFonts w:ascii="Times New Roman" w:hAnsi="Times New Roman" w:cs="Times New Roman"/>
          <w:b/>
          <w:sz w:val="24"/>
          <w:szCs w:val="24"/>
        </w:rPr>
        <w:t xml:space="preserve"> Diğer kanunlardaki tazminat sorumluluğuna ilişkin hükümler saklıdır. </w:t>
      </w:r>
    </w:p>
    <w:p w14:paraId="55294076" w14:textId="77777777" w:rsidR="007C086E" w:rsidRDefault="004F3F1B" w:rsidP="004F3F1B">
      <w:pPr>
        <w:ind w:hanging="426"/>
        <w:jc w:val="both"/>
        <w:rPr>
          <w:rFonts w:ascii="Times New Roman" w:hAnsi="Times New Roman" w:cs="Times New Roman"/>
          <w:b/>
          <w:sz w:val="24"/>
          <w:szCs w:val="24"/>
        </w:rPr>
      </w:pPr>
      <w:r w:rsidRPr="007C086E">
        <w:rPr>
          <w:rFonts w:ascii="Times New Roman" w:hAnsi="Times New Roman" w:cs="Times New Roman"/>
          <w:b/>
          <w:color w:val="FF0000"/>
          <w:sz w:val="24"/>
          <w:szCs w:val="24"/>
        </w:rPr>
        <w:t xml:space="preserve">İMALATÇININ YÜKÜMLÜLÜKLERİNİN VE ÜRÜN SORUMLULUĞU TAZMİNATININ DİĞER İKTİSADİ İŞLETMECİLERE UYGULANDIĞI DURUMLAR: </w:t>
      </w:r>
    </w:p>
    <w:p w14:paraId="2A9AE482" w14:textId="77777777" w:rsidR="00D54B36" w:rsidRPr="00D54B36" w:rsidRDefault="004F3F1B" w:rsidP="007C086E">
      <w:pPr>
        <w:pStyle w:val="ListeParagraf"/>
        <w:numPr>
          <w:ilvl w:val="0"/>
          <w:numId w:val="10"/>
        </w:numPr>
        <w:jc w:val="both"/>
        <w:rPr>
          <w:rFonts w:ascii="Times New Roman" w:hAnsi="Times New Roman" w:cs="Times New Roman"/>
          <w:sz w:val="28"/>
          <w:szCs w:val="28"/>
        </w:rPr>
      </w:pPr>
      <w:r w:rsidRPr="007C086E">
        <w:rPr>
          <w:rFonts w:ascii="Times New Roman" w:hAnsi="Times New Roman" w:cs="Times New Roman"/>
          <w:b/>
          <w:sz w:val="24"/>
          <w:szCs w:val="24"/>
        </w:rPr>
        <w:t xml:space="preserve">Ürünü kendi isim veya ticari markası altında piyasaya arz eden veya piyasada bulundurulan ürünü teknik düzenlemesine veya genel ürün güvenliği mevzuatına uygunluğunu etkileyecek şekilde değiştiren ithalatçılar ile dağıtıcılar 7223 Sayılı Kanun kapsamında imalatçı sayılırlar ve imalatçının yükümlülüklerini yerine getirmekle sorumludurlar, </w:t>
      </w:r>
    </w:p>
    <w:p w14:paraId="133D0973" w14:textId="77777777" w:rsidR="00D54B36" w:rsidRPr="00D54B36" w:rsidRDefault="004F3F1B" w:rsidP="007C086E">
      <w:pPr>
        <w:pStyle w:val="ListeParagraf"/>
        <w:numPr>
          <w:ilvl w:val="0"/>
          <w:numId w:val="10"/>
        </w:numPr>
        <w:jc w:val="both"/>
        <w:rPr>
          <w:rFonts w:ascii="Times New Roman" w:hAnsi="Times New Roman" w:cs="Times New Roman"/>
          <w:sz w:val="28"/>
          <w:szCs w:val="28"/>
        </w:rPr>
      </w:pPr>
      <w:r w:rsidRPr="007C086E">
        <w:rPr>
          <w:rFonts w:ascii="Times New Roman" w:hAnsi="Times New Roman" w:cs="Times New Roman"/>
          <w:b/>
          <w:sz w:val="24"/>
          <w:szCs w:val="24"/>
        </w:rPr>
        <w:lastRenderedPageBreak/>
        <w:t xml:space="preserve">Ürünün imalatçısı, yetkili temsilcisi veya ithalatçısının tespit edilemediği durumlarda, yetkili kuruluşça yapılan bildirimin kendisine tebliğ edildiği tarihten itibaren on iş günü içinde imalatçı, yetkili temsilci veya ithalatçısının isim ve irtibat bilgilerini, bu bilgilere sahip değil ise tedarik zincirinde yer alan bir önceki iktisadi işletmecinin isim ve irtibat bilgilerini bildirmeyen dağıtıcı, 7223 Sayılı Kanun kapsamında imalatçı olarak kabul edilir. </w:t>
      </w:r>
    </w:p>
    <w:p w14:paraId="27A0396D" w14:textId="77777777" w:rsidR="00EC13B6" w:rsidRPr="007C086E" w:rsidRDefault="004F3F1B" w:rsidP="007C086E">
      <w:pPr>
        <w:pStyle w:val="ListeParagraf"/>
        <w:numPr>
          <w:ilvl w:val="0"/>
          <w:numId w:val="10"/>
        </w:numPr>
        <w:jc w:val="both"/>
        <w:rPr>
          <w:rFonts w:ascii="Times New Roman" w:hAnsi="Times New Roman" w:cs="Times New Roman"/>
          <w:sz w:val="28"/>
          <w:szCs w:val="28"/>
        </w:rPr>
      </w:pPr>
      <w:r w:rsidRPr="007C086E">
        <w:rPr>
          <w:rFonts w:ascii="Times New Roman" w:hAnsi="Times New Roman" w:cs="Times New Roman"/>
          <w:b/>
          <w:sz w:val="24"/>
          <w:szCs w:val="24"/>
        </w:rPr>
        <w:t xml:space="preserve">Üründen kaynaklanan tazminat sorumluluğuna ilişkin olarak ürünün imalatçısı, yetkili temsilcisi veya ithalatçısının belirlenemediği durumlarda, zarara uğrayan kişiye bu iktisadi işletmecilerin isim ve irtibat bilgilerini, bu bilgilere sahip değil ise tedarik zincirinde yer alan bir önceki iktisadi işletmecinin isim ve irtibat bilgilerini bu talebin kendisine tebliğ edildiği tarihten itibaren on iş günü içinde bildirmeyen dağıtıcı, 7223 Sayılı Kanun kapsamında imalatçı gibi tazminattan sorumlu tutulur.  </w:t>
      </w:r>
    </w:p>
    <w:sectPr w:rsidR="00EC13B6" w:rsidRPr="007C086E" w:rsidSect="003E71EE">
      <w:pgSz w:w="11906" w:h="16838"/>
      <w:pgMar w:top="1417" w:right="70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AF1A6" w14:textId="77777777" w:rsidR="006A5A9D" w:rsidRDefault="006A5A9D" w:rsidP="00DB0BEE">
      <w:pPr>
        <w:spacing w:after="0" w:line="240" w:lineRule="auto"/>
      </w:pPr>
      <w:r>
        <w:separator/>
      </w:r>
    </w:p>
  </w:endnote>
  <w:endnote w:type="continuationSeparator" w:id="0">
    <w:p w14:paraId="0F07BF74" w14:textId="77777777" w:rsidR="006A5A9D" w:rsidRDefault="006A5A9D" w:rsidP="00DB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CB57A" w14:textId="77777777" w:rsidR="006A5A9D" w:rsidRDefault="006A5A9D" w:rsidP="00DB0BEE">
      <w:pPr>
        <w:spacing w:after="0" w:line="240" w:lineRule="auto"/>
      </w:pPr>
      <w:r>
        <w:separator/>
      </w:r>
    </w:p>
  </w:footnote>
  <w:footnote w:type="continuationSeparator" w:id="0">
    <w:p w14:paraId="186CD61F" w14:textId="77777777" w:rsidR="006A5A9D" w:rsidRDefault="006A5A9D" w:rsidP="00DB0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mso8083"/>
      </v:shape>
    </w:pict>
  </w:numPicBullet>
  <w:abstractNum w:abstractNumId="0" w15:restartNumberingAfterBreak="0">
    <w:nsid w:val="18B10166"/>
    <w:multiLevelType w:val="hybridMultilevel"/>
    <w:tmpl w:val="9B44E7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2F5517"/>
    <w:multiLevelType w:val="hybridMultilevel"/>
    <w:tmpl w:val="331E5A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1C5BD0"/>
    <w:multiLevelType w:val="hybridMultilevel"/>
    <w:tmpl w:val="EC5E53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7224CD"/>
    <w:multiLevelType w:val="hybridMultilevel"/>
    <w:tmpl w:val="245402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8A5E4F"/>
    <w:multiLevelType w:val="hybridMultilevel"/>
    <w:tmpl w:val="930011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C2D0D5E"/>
    <w:multiLevelType w:val="hybridMultilevel"/>
    <w:tmpl w:val="FDE28AE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4F332690"/>
    <w:multiLevelType w:val="hybridMultilevel"/>
    <w:tmpl w:val="24289FB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52E0ADF"/>
    <w:multiLevelType w:val="hybridMultilevel"/>
    <w:tmpl w:val="71DCA4E8"/>
    <w:lvl w:ilvl="0" w:tplc="EF30A59A">
      <w:start w:val="1"/>
      <w:numFmt w:val="bullet"/>
      <w:lvlText w:val=""/>
      <w:lvlJc w:val="left"/>
      <w:pPr>
        <w:ind w:left="795" w:hanging="360"/>
      </w:pPr>
      <w:rPr>
        <w:rFonts w:ascii="Wingdings" w:hAnsi="Wingdings" w:hint="default"/>
        <w:color w:val="FF0000"/>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8" w15:restartNumberingAfterBreak="0">
    <w:nsid w:val="64393083"/>
    <w:multiLevelType w:val="hybridMultilevel"/>
    <w:tmpl w:val="380A3508"/>
    <w:lvl w:ilvl="0" w:tplc="CF8CA800">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73A70E0"/>
    <w:multiLevelType w:val="hybridMultilevel"/>
    <w:tmpl w:val="9C4EC8A0"/>
    <w:lvl w:ilvl="0" w:tplc="041F000B">
      <w:start w:val="1"/>
      <w:numFmt w:val="bullet"/>
      <w:lvlText w:val=""/>
      <w:lvlJc w:val="left"/>
      <w:pPr>
        <w:ind w:left="294" w:hanging="360"/>
      </w:pPr>
      <w:rPr>
        <w:rFonts w:ascii="Wingdings" w:hAnsi="Wingdings"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0" w15:restartNumberingAfterBreak="0">
    <w:nsid w:val="75F57E3E"/>
    <w:multiLevelType w:val="hybridMultilevel"/>
    <w:tmpl w:val="9B523EF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7"/>
  </w:num>
  <w:num w:numId="6">
    <w:abstractNumId w:val="5"/>
  </w:num>
  <w:num w:numId="7">
    <w:abstractNumId w:val="4"/>
  </w:num>
  <w:num w:numId="8">
    <w:abstractNumId w:val="10"/>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B6"/>
    <w:rsid w:val="00153A67"/>
    <w:rsid w:val="001A3949"/>
    <w:rsid w:val="001D4DBA"/>
    <w:rsid w:val="0030580C"/>
    <w:rsid w:val="003E71EE"/>
    <w:rsid w:val="004F3F1B"/>
    <w:rsid w:val="00644CCE"/>
    <w:rsid w:val="00660123"/>
    <w:rsid w:val="006A5A9D"/>
    <w:rsid w:val="007C086E"/>
    <w:rsid w:val="008C68E6"/>
    <w:rsid w:val="008F26A6"/>
    <w:rsid w:val="00D0168A"/>
    <w:rsid w:val="00D108CC"/>
    <w:rsid w:val="00D54B36"/>
    <w:rsid w:val="00DB0BEE"/>
    <w:rsid w:val="00E13C1B"/>
    <w:rsid w:val="00EC13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A808E"/>
  <w15:chartTrackingRefBased/>
  <w15:docId w15:val="{FF5AC09C-92EF-49C4-945F-ADDF7D59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C13B6"/>
    <w:pPr>
      <w:ind w:left="720"/>
      <w:contextualSpacing/>
    </w:pPr>
  </w:style>
  <w:style w:type="paragraph" w:styleId="stBilgi">
    <w:name w:val="header"/>
    <w:basedOn w:val="Normal"/>
    <w:link w:val="stBilgiChar"/>
    <w:uiPriority w:val="99"/>
    <w:unhideWhenUsed/>
    <w:rsid w:val="00DB0B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0BEE"/>
  </w:style>
  <w:style w:type="paragraph" w:styleId="AltBilgi">
    <w:name w:val="footer"/>
    <w:basedOn w:val="Normal"/>
    <w:link w:val="AltBilgiChar"/>
    <w:uiPriority w:val="99"/>
    <w:unhideWhenUsed/>
    <w:rsid w:val="00DB0B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C933D-3A76-4121-BCA4-16D963ED4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 UZUNGİL</dc:creator>
  <cp:keywords/>
  <dc:description/>
  <cp:lastModifiedBy>BIM03</cp:lastModifiedBy>
  <cp:revision>2</cp:revision>
  <dcterms:created xsi:type="dcterms:W3CDTF">2021-07-08T07:28:00Z</dcterms:created>
  <dcterms:modified xsi:type="dcterms:W3CDTF">2021-07-08T07:28:00Z</dcterms:modified>
</cp:coreProperties>
</file>