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F91" w:rsidRPr="00032F91" w:rsidRDefault="00032F91" w:rsidP="00A07129">
      <w:pPr>
        <w:spacing w:after="0" w:line="300" w:lineRule="auto"/>
        <w:jc w:val="center"/>
        <w:rPr>
          <w:rFonts w:cs="Times New Roman"/>
          <w:b/>
          <w:sz w:val="24"/>
        </w:rPr>
      </w:pPr>
      <w:r w:rsidRPr="00032F91">
        <w:rPr>
          <w:rFonts w:cs="Times New Roman"/>
          <w:b/>
          <w:sz w:val="24"/>
        </w:rPr>
        <w:t>TÜRKİYE CUMHURİYETİ İLE İRAN İSLAM CUMHURİYETİ ARASINDAKİ TERCİHLİ TİCARET ANLAŞMASI</w:t>
      </w:r>
    </w:p>
    <w:p w:rsidR="00032F91" w:rsidRPr="00032F91" w:rsidRDefault="00032F91" w:rsidP="006E582D">
      <w:pPr>
        <w:spacing w:after="0" w:line="300" w:lineRule="auto"/>
        <w:jc w:val="both"/>
        <w:rPr>
          <w:rFonts w:cs="Times New Roman"/>
          <w:b/>
          <w:sz w:val="24"/>
        </w:rPr>
      </w:pPr>
    </w:p>
    <w:p w:rsidR="00032F91" w:rsidRPr="00032F91" w:rsidRDefault="00032F91" w:rsidP="00032F91">
      <w:pPr>
        <w:spacing w:after="0" w:line="300" w:lineRule="auto"/>
        <w:ind w:firstLine="340"/>
        <w:jc w:val="both"/>
        <w:rPr>
          <w:rFonts w:cs="Times New Roman"/>
          <w:sz w:val="24"/>
        </w:rPr>
      </w:pPr>
      <w:r w:rsidRPr="00032F91">
        <w:rPr>
          <w:rFonts w:cs="Times New Roman"/>
          <w:sz w:val="24"/>
        </w:rPr>
        <w:t>Türkiye ile İran arasınd</w:t>
      </w:r>
      <w:r w:rsidR="002241A9">
        <w:rPr>
          <w:rFonts w:cs="Times New Roman"/>
          <w:sz w:val="24"/>
        </w:rPr>
        <w:t>a 10 yıldır müzakereleri süren Tercihli Ticaret A</w:t>
      </w:r>
      <w:r w:rsidRPr="00032F91">
        <w:rPr>
          <w:rFonts w:cs="Times New Roman"/>
          <w:sz w:val="24"/>
        </w:rPr>
        <w:t>nlaşması 1 Ocak 2015 tarihi itibariyle yürürlüğe gir</w:t>
      </w:r>
      <w:r w:rsidR="00103B20">
        <w:rPr>
          <w:rFonts w:cs="Times New Roman"/>
          <w:sz w:val="24"/>
        </w:rPr>
        <w:t>miştir</w:t>
      </w:r>
      <w:r w:rsidRPr="00032F91">
        <w:rPr>
          <w:rFonts w:cs="Times New Roman"/>
          <w:sz w:val="24"/>
        </w:rPr>
        <w:t xml:space="preserve">. </w:t>
      </w:r>
      <w:r w:rsidRPr="00032F91">
        <w:rPr>
          <w:rFonts w:cs="Times New Roman"/>
          <w:b/>
          <w:i/>
          <w:sz w:val="24"/>
        </w:rPr>
        <w:t>Türkiye-İran Tercihli Ticaret Anlaşması ülkemizin Serbest Ticaret Anlaşmaları dışında taviz alış verişi yaptığı ilk anlaşmadır</w:t>
      </w:r>
      <w:r w:rsidRPr="00032F91">
        <w:rPr>
          <w:rFonts w:cs="Times New Roman"/>
          <w:i/>
          <w:sz w:val="24"/>
        </w:rPr>
        <w:t>.</w:t>
      </w:r>
      <w:r w:rsidRPr="00032F91">
        <w:rPr>
          <w:rFonts w:cs="Times New Roman"/>
          <w:sz w:val="24"/>
        </w:rPr>
        <w:t xml:space="preserve">  Bu anlaşma iki ülke arasında en üst düzeyde belirlenmiş olan 35 milyar dolarlık ticaret hacmine ulaşılabilmesi açısından son derece önem taşımaktadır. </w:t>
      </w:r>
    </w:p>
    <w:p w:rsidR="00032F91" w:rsidRPr="00032F91" w:rsidRDefault="00032F91" w:rsidP="00032F91">
      <w:pPr>
        <w:spacing w:after="0" w:line="300" w:lineRule="auto"/>
        <w:ind w:firstLine="340"/>
        <w:jc w:val="both"/>
        <w:rPr>
          <w:rFonts w:cs="Times New Roman"/>
          <w:sz w:val="24"/>
        </w:rPr>
      </w:pPr>
      <w:proofErr w:type="gramStart"/>
      <w:r w:rsidRPr="00032F91">
        <w:rPr>
          <w:rFonts w:cs="Times New Roman"/>
          <w:sz w:val="24"/>
        </w:rPr>
        <w:t>Söz konusu Anlaşmanın temel amacı; iki ülke arasındaki tarifelerin indirilmesi ve tarife dışı engeller ile tarife benzeri engellerin ortadan kaldırılması, iki ülke arasında adil rekabet koşullarının oluşturulması, güvenli ve öngörülebilir bir ortam tesis edilmesi ve ticaretin çeşitlendirilmesi suretiyle ülkemiz ile İran arasındaki ekonomik ve ticari ilişkilerin geliştirilmesi ve teşvik edilmesidir.</w:t>
      </w:r>
      <w:proofErr w:type="gramEnd"/>
    </w:p>
    <w:p w:rsidR="00032F91" w:rsidRPr="00032F91" w:rsidRDefault="00032F91" w:rsidP="00032F91">
      <w:pPr>
        <w:spacing w:after="0" w:line="300" w:lineRule="auto"/>
        <w:ind w:firstLine="340"/>
        <w:jc w:val="both"/>
        <w:rPr>
          <w:rFonts w:cs="Times New Roman"/>
          <w:sz w:val="24"/>
        </w:rPr>
      </w:pPr>
      <w:r w:rsidRPr="00032F91">
        <w:rPr>
          <w:rFonts w:cs="Times New Roman"/>
          <w:sz w:val="24"/>
        </w:rPr>
        <w:t>Bahse konu Anlaşma kapsamında, Türkiye'nin 6’lı gümrük tarife po</w:t>
      </w:r>
      <w:r w:rsidR="00595649">
        <w:rPr>
          <w:rFonts w:cs="Times New Roman"/>
          <w:sz w:val="24"/>
        </w:rPr>
        <w:t>zisyonu bazında toplam 140 üründe</w:t>
      </w:r>
      <w:r w:rsidRPr="00032F91">
        <w:rPr>
          <w:rFonts w:cs="Times New Roman"/>
          <w:sz w:val="24"/>
        </w:rPr>
        <w:t xml:space="preserve"> İran'a tarife indirimi ve kota artırımı; İran'ın ise 6’lı gümrük tarife pozisyonu bazında 125 </w:t>
      </w:r>
      <w:r w:rsidR="00595649">
        <w:rPr>
          <w:rFonts w:cs="Times New Roman"/>
          <w:sz w:val="24"/>
        </w:rPr>
        <w:t xml:space="preserve">üründe </w:t>
      </w:r>
      <w:r w:rsidRPr="00032F91">
        <w:rPr>
          <w:rFonts w:cs="Times New Roman"/>
          <w:sz w:val="24"/>
        </w:rPr>
        <w:t>Türkiye'ye tarife indirimi sağlanması kararlaştırılmıştır.</w:t>
      </w:r>
      <w:r w:rsidR="00595649">
        <w:rPr>
          <w:rFonts w:cs="Times New Roman"/>
          <w:sz w:val="24"/>
        </w:rPr>
        <w:t xml:space="preserve"> Böylece toplamda 265 üründe</w:t>
      </w:r>
      <w:r w:rsidR="00C0478A">
        <w:rPr>
          <w:rFonts w:cs="Times New Roman"/>
          <w:sz w:val="24"/>
        </w:rPr>
        <w:t>,</w:t>
      </w:r>
      <w:r w:rsidR="00595649">
        <w:rPr>
          <w:rFonts w:cs="Times New Roman"/>
          <w:sz w:val="24"/>
        </w:rPr>
        <w:t xml:space="preserve"> gümrük vergileri aşağı </w:t>
      </w:r>
      <w:r w:rsidR="00CF3C4F">
        <w:rPr>
          <w:rFonts w:cs="Times New Roman"/>
          <w:sz w:val="24"/>
        </w:rPr>
        <w:t>yön</w:t>
      </w:r>
      <w:r w:rsidR="002241A9">
        <w:rPr>
          <w:rFonts w:cs="Times New Roman"/>
          <w:sz w:val="24"/>
        </w:rPr>
        <w:t>lü revize edilmiştir. Tercihli Ticaret A</w:t>
      </w:r>
      <w:r w:rsidR="00CF3C4F">
        <w:rPr>
          <w:rFonts w:cs="Times New Roman"/>
          <w:sz w:val="24"/>
        </w:rPr>
        <w:t>nlaşmasının 2015 yılı sonunda ise 300 ürünü kapsaması beklenmektedir.</w:t>
      </w:r>
    </w:p>
    <w:p w:rsidR="00032F91" w:rsidRPr="00032F91" w:rsidRDefault="00032F91" w:rsidP="00032F91">
      <w:pPr>
        <w:spacing w:after="0" w:line="300" w:lineRule="auto"/>
        <w:ind w:firstLine="340"/>
        <w:jc w:val="both"/>
        <w:rPr>
          <w:rFonts w:cs="Times New Roman"/>
          <w:sz w:val="24"/>
        </w:rPr>
      </w:pPr>
      <w:r w:rsidRPr="00032F91">
        <w:rPr>
          <w:rFonts w:cs="Times New Roman"/>
          <w:sz w:val="24"/>
        </w:rPr>
        <w:t xml:space="preserve">İran’ın, Tercihli Ticaret Anlaşması ile Türkiye’ye tarife indirimi sağlayacağı ürünler arasında; </w:t>
      </w:r>
      <w:r w:rsidRPr="00032F91">
        <w:rPr>
          <w:rFonts w:cs="Times New Roman"/>
          <w:b/>
          <w:sz w:val="24"/>
        </w:rPr>
        <w:t>temizlik ürünleri, ilaç, kozmetik, plastik malzemeler, orman ürünleri, tekstil, hazır giyim, ev tekstili, mobilya, çelik ürünleri, demir ve demir</w:t>
      </w:r>
      <w:r w:rsidR="001F234B">
        <w:rPr>
          <w:rFonts w:cs="Times New Roman"/>
          <w:b/>
          <w:sz w:val="24"/>
        </w:rPr>
        <w:t xml:space="preserve"> </w:t>
      </w:r>
      <w:r w:rsidRPr="00032F91">
        <w:rPr>
          <w:rFonts w:cs="Times New Roman"/>
          <w:b/>
          <w:sz w:val="24"/>
        </w:rPr>
        <w:t>dışı metaller, buzdolabı, bulaşık makineleri gibi beyaz eşya ürünleri, klimalar ve elektrik-elektronik ürünleri</w:t>
      </w:r>
      <w:r w:rsidRPr="00032F91">
        <w:rPr>
          <w:rFonts w:cs="Times New Roman"/>
          <w:sz w:val="24"/>
        </w:rPr>
        <w:t xml:space="preserve"> gibi birçok ürün yer almaktadır. Söz konusu ürünlerde 2012 yılında Türkiye’nin dünyaya ihracatı 38,9 milyar ABD Doları ola</w:t>
      </w:r>
      <w:r w:rsidR="00103B20">
        <w:rPr>
          <w:rFonts w:cs="Times New Roman"/>
          <w:sz w:val="24"/>
        </w:rPr>
        <w:t>rak gerçekleşmiş olup; bu tutar</w:t>
      </w:r>
      <w:r w:rsidRPr="00032F91">
        <w:rPr>
          <w:rFonts w:cs="Times New Roman"/>
          <w:sz w:val="24"/>
        </w:rPr>
        <w:t xml:space="preserve">, Türkiye’nin aynı yıl gerçekleştirdiği toplam ihracatın yüzde 25,5’ine tekabül etmektedir. </w:t>
      </w:r>
    </w:p>
    <w:p w:rsidR="00032F91" w:rsidRDefault="00032F91" w:rsidP="00032F91">
      <w:pPr>
        <w:spacing w:after="0" w:line="300" w:lineRule="auto"/>
        <w:ind w:firstLine="340"/>
        <w:jc w:val="both"/>
        <w:rPr>
          <w:rFonts w:cs="Times New Roman"/>
          <w:sz w:val="24"/>
        </w:rPr>
      </w:pPr>
      <w:r w:rsidRPr="00032F91">
        <w:rPr>
          <w:rFonts w:cs="Times New Roman"/>
          <w:sz w:val="24"/>
        </w:rPr>
        <w:t xml:space="preserve">Ayrıca, Tercihli Ticaret Anlaşması kapsamında İran’ın Türkiye’ye tarife indirimi yapmayı kabul ettiği sanayi ürünlerinde 2012 yılında Türkiye’nin İran’a ihracatı yaklaşık 830 milyon dolar olmuştur. </w:t>
      </w:r>
      <w:r w:rsidR="00C0478A">
        <w:rPr>
          <w:rFonts w:cs="Times New Roman"/>
          <w:sz w:val="24"/>
        </w:rPr>
        <w:t>B</w:t>
      </w:r>
      <w:r w:rsidRPr="00032F91">
        <w:rPr>
          <w:rFonts w:cs="Times New Roman"/>
          <w:sz w:val="24"/>
        </w:rPr>
        <w:t>u ürünlerde ihracatın 3 yıl</w:t>
      </w:r>
      <w:r w:rsidR="005E0D94">
        <w:rPr>
          <w:rFonts w:cs="Times New Roman"/>
          <w:sz w:val="24"/>
        </w:rPr>
        <w:t>ın</w:t>
      </w:r>
      <w:r w:rsidR="00C0478A">
        <w:rPr>
          <w:rFonts w:cs="Times New Roman"/>
          <w:sz w:val="24"/>
        </w:rPr>
        <w:t xml:space="preserve"> </w:t>
      </w:r>
      <w:r w:rsidRPr="00032F91">
        <w:rPr>
          <w:rFonts w:cs="Times New Roman"/>
          <w:sz w:val="24"/>
        </w:rPr>
        <w:t xml:space="preserve">sonunda iki katına çıkacağı beklenmektedir. </w:t>
      </w:r>
    </w:p>
    <w:p w:rsidR="00CD2109" w:rsidRDefault="00CD2109" w:rsidP="00032F91">
      <w:pPr>
        <w:spacing w:after="0" w:line="300" w:lineRule="auto"/>
        <w:ind w:firstLine="340"/>
        <w:jc w:val="both"/>
        <w:rPr>
          <w:rFonts w:cs="Times New Roman"/>
          <w:sz w:val="24"/>
        </w:rPr>
      </w:pPr>
    </w:p>
    <w:p w:rsidR="00CD2109" w:rsidRDefault="00CD2109" w:rsidP="00032F91">
      <w:pPr>
        <w:spacing w:after="0" w:line="300" w:lineRule="auto"/>
        <w:ind w:firstLine="340"/>
        <w:jc w:val="both"/>
        <w:rPr>
          <w:rFonts w:cs="Times New Roman"/>
          <w:sz w:val="24"/>
        </w:rPr>
      </w:pPr>
      <w:r>
        <w:rPr>
          <w:rFonts w:cs="Times New Roman"/>
          <w:sz w:val="24"/>
        </w:rPr>
        <w:t>Konuya ilişkin Resmi Gazete’</w:t>
      </w:r>
      <w:r w:rsidR="00665A1C">
        <w:rPr>
          <w:rFonts w:cs="Times New Roman"/>
          <w:sz w:val="24"/>
        </w:rPr>
        <w:t xml:space="preserve"> </w:t>
      </w:r>
      <w:r>
        <w:rPr>
          <w:rFonts w:cs="Times New Roman"/>
          <w:sz w:val="24"/>
        </w:rPr>
        <w:t>de yayımlanarak 1 Ocak 2015 tarihinde yürürlüğe giren Türkiye ve İran arasındaki antlaşma metnine ve tarife indirimleri sağlanacak olan ürün gruplarına aşağıda yer alan linkten ulaşabilirsiniz.</w:t>
      </w:r>
    </w:p>
    <w:p w:rsidR="00CD2109" w:rsidRDefault="00CD2109" w:rsidP="00032F91">
      <w:pPr>
        <w:spacing w:after="0" w:line="300" w:lineRule="auto"/>
        <w:ind w:firstLine="340"/>
        <w:jc w:val="both"/>
        <w:rPr>
          <w:rFonts w:cs="Times New Roman"/>
          <w:sz w:val="24"/>
        </w:rPr>
      </w:pPr>
    </w:p>
    <w:p w:rsidR="00CD2109" w:rsidRPr="00CD2109" w:rsidRDefault="00FC673F" w:rsidP="00032F91">
      <w:pPr>
        <w:spacing w:after="0" w:line="300" w:lineRule="auto"/>
        <w:ind w:firstLine="340"/>
        <w:jc w:val="both"/>
        <w:rPr>
          <w:rFonts w:cs="Times New Roman"/>
          <w:b/>
          <w:sz w:val="24"/>
          <w:u w:val="single"/>
        </w:rPr>
      </w:pPr>
      <w:hyperlink r:id="rId9" w:history="1">
        <w:r w:rsidRPr="00FC673F">
          <w:rPr>
            <w:rStyle w:val="Kpr"/>
            <w:rFonts w:cs="Times New Roman"/>
            <w:sz w:val="24"/>
          </w:rPr>
          <w:t>http:/www.resmigazete.gov.tr/eskiler/</w:t>
        </w:r>
        <w:proofErr w:type="gramStart"/>
        <w:r w:rsidRPr="00FC673F">
          <w:rPr>
            <w:rStyle w:val="Kpr"/>
            <w:rFonts w:cs="Times New Roman"/>
            <w:sz w:val="24"/>
          </w:rPr>
          <w:t>2014/11/20141104</w:t>
        </w:r>
        <w:proofErr w:type="gramEnd"/>
        <w:r w:rsidRPr="00FC673F">
          <w:rPr>
            <w:rStyle w:val="Kpr"/>
            <w:rFonts w:cs="Times New Roman"/>
            <w:sz w:val="24"/>
          </w:rPr>
          <w:t>-2.htm</w:t>
        </w:r>
      </w:hyperlink>
    </w:p>
    <w:p w:rsidR="00CD2109" w:rsidRDefault="00CD2109" w:rsidP="00032F91">
      <w:pPr>
        <w:spacing w:after="0" w:line="300" w:lineRule="auto"/>
        <w:ind w:firstLine="340"/>
        <w:jc w:val="both"/>
        <w:rPr>
          <w:rFonts w:cs="Times New Roman"/>
          <w:sz w:val="24"/>
        </w:rPr>
      </w:pPr>
    </w:p>
    <w:p w:rsidR="00CD2109" w:rsidRDefault="00CD2109" w:rsidP="00032F91">
      <w:pPr>
        <w:spacing w:after="0" w:line="300" w:lineRule="auto"/>
        <w:ind w:firstLine="340"/>
        <w:jc w:val="both"/>
        <w:rPr>
          <w:rFonts w:cs="Times New Roman"/>
          <w:sz w:val="24"/>
        </w:rPr>
      </w:pPr>
    </w:p>
    <w:p w:rsidR="00CD2109" w:rsidRDefault="00CD2109" w:rsidP="00032F91">
      <w:pPr>
        <w:spacing w:after="0" w:line="300" w:lineRule="auto"/>
        <w:ind w:firstLine="340"/>
        <w:jc w:val="both"/>
        <w:rPr>
          <w:rFonts w:cs="Times New Roman"/>
          <w:sz w:val="24"/>
        </w:rPr>
      </w:pPr>
      <w:bookmarkStart w:id="0" w:name="_GoBack"/>
      <w:bookmarkEnd w:id="0"/>
    </w:p>
    <w:p w:rsidR="0074001D" w:rsidRDefault="0074001D" w:rsidP="001F234B">
      <w:pPr>
        <w:spacing w:after="0" w:line="300" w:lineRule="auto"/>
        <w:jc w:val="both"/>
        <w:rPr>
          <w:rFonts w:cs="Times New Roman"/>
          <w:sz w:val="24"/>
        </w:rPr>
      </w:pPr>
    </w:p>
    <w:p w:rsidR="00103B20" w:rsidRDefault="00103B20" w:rsidP="00103B20">
      <w:pPr>
        <w:spacing w:after="0" w:line="300" w:lineRule="auto"/>
        <w:ind w:firstLine="340"/>
        <w:jc w:val="center"/>
        <w:rPr>
          <w:rFonts w:cs="Times New Roman"/>
          <w:b/>
          <w:sz w:val="24"/>
        </w:rPr>
      </w:pPr>
      <w:r w:rsidRPr="00103B20">
        <w:rPr>
          <w:rFonts w:cs="Times New Roman"/>
          <w:b/>
          <w:sz w:val="24"/>
        </w:rPr>
        <w:lastRenderedPageBreak/>
        <w:t>TÜRKİYE-İRAN TİCARİ İLİŞKİLERİ</w:t>
      </w:r>
    </w:p>
    <w:p w:rsidR="00103B20" w:rsidRDefault="00103B20" w:rsidP="00103B20">
      <w:pPr>
        <w:spacing w:after="0" w:line="300" w:lineRule="auto"/>
        <w:ind w:firstLine="340"/>
        <w:jc w:val="both"/>
        <w:rPr>
          <w:rFonts w:cs="Times New Roman"/>
          <w:sz w:val="24"/>
        </w:rPr>
      </w:pPr>
      <w:r>
        <w:rPr>
          <w:rFonts w:cs="Times New Roman"/>
          <w:sz w:val="24"/>
        </w:rPr>
        <w:t xml:space="preserve">Türkiye’nin 2014 yılı ihracatı </w:t>
      </w:r>
      <w:r w:rsidR="001A77EF">
        <w:rPr>
          <w:rFonts w:cs="Times New Roman"/>
          <w:sz w:val="24"/>
        </w:rPr>
        <w:t>157,6</w:t>
      </w:r>
      <w:r>
        <w:rPr>
          <w:rFonts w:cs="Times New Roman"/>
          <w:sz w:val="24"/>
        </w:rPr>
        <w:t xml:space="preserve"> milyar dolar olarak gerçekleşirken</w:t>
      </w:r>
      <w:r w:rsidR="007A5553">
        <w:rPr>
          <w:rFonts w:cs="Times New Roman"/>
          <w:sz w:val="24"/>
        </w:rPr>
        <w:t>,</w:t>
      </w:r>
      <w:r>
        <w:rPr>
          <w:rFonts w:cs="Times New Roman"/>
          <w:sz w:val="24"/>
        </w:rPr>
        <w:t xml:space="preserve"> yıllık </w:t>
      </w:r>
      <w:proofErr w:type="gramStart"/>
      <w:r>
        <w:rPr>
          <w:rFonts w:cs="Times New Roman"/>
          <w:sz w:val="24"/>
        </w:rPr>
        <w:t>bazda</w:t>
      </w:r>
      <w:proofErr w:type="gramEnd"/>
      <w:r>
        <w:rPr>
          <w:rFonts w:cs="Times New Roman"/>
          <w:sz w:val="24"/>
        </w:rPr>
        <w:t xml:space="preserve"> Cumhuriyet tarihinin rekorunu da beraberinde getirmiştir.</w:t>
      </w:r>
      <w:r w:rsidR="007A5553">
        <w:rPr>
          <w:rFonts w:cs="Times New Roman"/>
          <w:sz w:val="24"/>
        </w:rPr>
        <w:t xml:space="preserve"> Türkiye, İran’a yaptığı ihracatını bir önceki yıla oranla %57 artırarak önemli bir başarıya da imza atmıştır.</w:t>
      </w:r>
      <w:r w:rsidR="00446AB6">
        <w:rPr>
          <w:rFonts w:cs="Times New Roman"/>
          <w:sz w:val="24"/>
        </w:rPr>
        <w:t xml:space="preserve"> Bir önceki yıl Türkiye’nin en fazla ihracat yaptığı ülkeler listesinde 19.sırada yer alan İran, 2014 yılında 10 basamak birden yükselerek 9.sırada yer almıştır.</w:t>
      </w:r>
    </w:p>
    <w:p w:rsidR="002B09ED" w:rsidRDefault="002B09ED" w:rsidP="00103B20">
      <w:pPr>
        <w:spacing w:after="0" w:line="300" w:lineRule="auto"/>
        <w:ind w:firstLine="340"/>
        <w:jc w:val="both"/>
        <w:rPr>
          <w:rFonts w:cs="Times New Roman"/>
          <w:sz w:val="24"/>
        </w:rPr>
      </w:pPr>
    </w:p>
    <w:tbl>
      <w:tblPr>
        <w:tblStyle w:val="AkListe-Vurgu1"/>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72"/>
      </w:tblGrid>
      <w:tr w:rsidR="00CF66B4" w:rsidTr="00F022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81" w:type="dxa"/>
            <w:gridSpan w:val="2"/>
          </w:tcPr>
          <w:p w:rsidR="00CF66B4" w:rsidRDefault="002B09ED" w:rsidP="00103B20">
            <w:pPr>
              <w:spacing w:line="300" w:lineRule="auto"/>
              <w:jc w:val="both"/>
              <w:rPr>
                <w:rFonts w:cs="Times New Roman"/>
                <w:sz w:val="24"/>
              </w:rPr>
            </w:pPr>
            <w:r>
              <w:rPr>
                <w:rFonts w:cs="Times New Roman"/>
                <w:sz w:val="24"/>
              </w:rPr>
              <w:t>Türkiye’den İran’a İhracat Değerleri (milyar dolar)</w:t>
            </w:r>
          </w:p>
        </w:tc>
      </w:tr>
      <w:tr w:rsidR="00CF66B4" w:rsidTr="00F022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tcPr>
          <w:p w:rsidR="00CF66B4" w:rsidRPr="002B09ED" w:rsidRDefault="00CF66B4" w:rsidP="00103B20">
            <w:pPr>
              <w:spacing w:line="300" w:lineRule="auto"/>
              <w:jc w:val="both"/>
              <w:rPr>
                <w:rFonts w:cs="Times New Roman"/>
                <w:b w:val="0"/>
                <w:sz w:val="24"/>
              </w:rPr>
            </w:pPr>
            <w:r w:rsidRPr="002B09ED">
              <w:rPr>
                <w:rFonts w:cs="Times New Roman"/>
                <w:b w:val="0"/>
                <w:sz w:val="24"/>
              </w:rPr>
              <w:t>2014</w:t>
            </w:r>
          </w:p>
        </w:tc>
        <w:tc>
          <w:tcPr>
            <w:tcW w:w="3472" w:type="dxa"/>
            <w:tcBorders>
              <w:top w:val="none" w:sz="0" w:space="0" w:color="auto"/>
              <w:bottom w:val="none" w:sz="0" w:space="0" w:color="auto"/>
              <w:right w:val="none" w:sz="0" w:space="0" w:color="auto"/>
            </w:tcBorders>
          </w:tcPr>
          <w:p w:rsidR="00CF66B4" w:rsidRPr="002B09ED" w:rsidRDefault="00CF66B4" w:rsidP="00F0225D">
            <w:pPr>
              <w:spacing w:line="30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4"/>
              </w:rPr>
            </w:pPr>
            <w:r w:rsidRPr="002B09ED">
              <w:rPr>
                <w:rFonts w:cs="Times New Roman"/>
                <w:b/>
                <w:sz w:val="24"/>
              </w:rPr>
              <w:t>4.012</w:t>
            </w:r>
          </w:p>
        </w:tc>
      </w:tr>
      <w:tr w:rsidR="00CF66B4" w:rsidTr="00F0225D">
        <w:trPr>
          <w:jc w:val="center"/>
        </w:trPr>
        <w:tc>
          <w:tcPr>
            <w:cnfStyle w:val="001000000000" w:firstRow="0" w:lastRow="0" w:firstColumn="1" w:lastColumn="0" w:oddVBand="0" w:evenVBand="0" w:oddHBand="0" w:evenHBand="0" w:firstRowFirstColumn="0" w:firstRowLastColumn="0" w:lastRowFirstColumn="0" w:lastRowLastColumn="0"/>
            <w:tcW w:w="1809" w:type="dxa"/>
          </w:tcPr>
          <w:p w:rsidR="00CF66B4" w:rsidRPr="002B09ED" w:rsidRDefault="00CF66B4" w:rsidP="00103B20">
            <w:pPr>
              <w:spacing w:line="300" w:lineRule="auto"/>
              <w:jc w:val="both"/>
              <w:rPr>
                <w:rFonts w:cs="Times New Roman"/>
                <w:b w:val="0"/>
                <w:sz w:val="24"/>
              </w:rPr>
            </w:pPr>
            <w:r w:rsidRPr="002B09ED">
              <w:rPr>
                <w:rFonts w:cs="Times New Roman"/>
                <w:b w:val="0"/>
                <w:sz w:val="24"/>
              </w:rPr>
              <w:t>2013</w:t>
            </w:r>
          </w:p>
        </w:tc>
        <w:tc>
          <w:tcPr>
            <w:tcW w:w="3472" w:type="dxa"/>
          </w:tcPr>
          <w:p w:rsidR="00CF66B4" w:rsidRPr="002B09ED" w:rsidRDefault="00CF66B4" w:rsidP="00F0225D">
            <w:pPr>
              <w:spacing w:line="30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4"/>
              </w:rPr>
            </w:pPr>
            <w:r w:rsidRPr="002B09ED">
              <w:rPr>
                <w:rFonts w:cs="Times New Roman"/>
                <w:b/>
                <w:sz w:val="24"/>
              </w:rPr>
              <w:t>2.552</w:t>
            </w:r>
          </w:p>
        </w:tc>
      </w:tr>
      <w:tr w:rsidR="00CF66B4" w:rsidTr="00F022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tcPr>
          <w:p w:rsidR="00CF66B4" w:rsidRPr="002B09ED" w:rsidRDefault="00CF66B4" w:rsidP="00103B20">
            <w:pPr>
              <w:spacing w:line="300" w:lineRule="auto"/>
              <w:jc w:val="both"/>
              <w:rPr>
                <w:rFonts w:cs="Times New Roman"/>
                <w:b w:val="0"/>
                <w:sz w:val="24"/>
              </w:rPr>
            </w:pPr>
            <w:r w:rsidRPr="002B09ED">
              <w:rPr>
                <w:rFonts w:cs="Times New Roman"/>
                <w:b w:val="0"/>
                <w:sz w:val="24"/>
              </w:rPr>
              <w:t>2012</w:t>
            </w:r>
          </w:p>
        </w:tc>
        <w:tc>
          <w:tcPr>
            <w:tcW w:w="3472" w:type="dxa"/>
            <w:tcBorders>
              <w:top w:val="none" w:sz="0" w:space="0" w:color="auto"/>
              <w:bottom w:val="none" w:sz="0" w:space="0" w:color="auto"/>
              <w:right w:val="none" w:sz="0" w:space="0" w:color="auto"/>
            </w:tcBorders>
          </w:tcPr>
          <w:p w:rsidR="00CF66B4" w:rsidRPr="002B09ED" w:rsidRDefault="00CF66B4" w:rsidP="00F0225D">
            <w:pPr>
              <w:spacing w:line="30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4"/>
              </w:rPr>
            </w:pPr>
            <w:r w:rsidRPr="002B09ED">
              <w:rPr>
                <w:rFonts w:cs="Times New Roman"/>
                <w:b/>
                <w:sz w:val="24"/>
              </w:rPr>
              <w:t>3.407</w:t>
            </w:r>
          </w:p>
        </w:tc>
      </w:tr>
      <w:tr w:rsidR="00CF66B4" w:rsidTr="00F0225D">
        <w:trPr>
          <w:jc w:val="center"/>
        </w:trPr>
        <w:tc>
          <w:tcPr>
            <w:cnfStyle w:val="001000000000" w:firstRow="0" w:lastRow="0" w:firstColumn="1" w:lastColumn="0" w:oddVBand="0" w:evenVBand="0" w:oddHBand="0" w:evenHBand="0" w:firstRowFirstColumn="0" w:firstRowLastColumn="0" w:lastRowFirstColumn="0" w:lastRowLastColumn="0"/>
            <w:tcW w:w="1809" w:type="dxa"/>
          </w:tcPr>
          <w:p w:rsidR="00CF66B4" w:rsidRPr="002B09ED" w:rsidRDefault="00CF66B4" w:rsidP="00103B20">
            <w:pPr>
              <w:spacing w:line="300" w:lineRule="auto"/>
              <w:jc w:val="both"/>
              <w:rPr>
                <w:rFonts w:cs="Times New Roman"/>
                <w:b w:val="0"/>
                <w:sz w:val="24"/>
              </w:rPr>
            </w:pPr>
            <w:r w:rsidRPr="002B09ED">
              <w:rPr>
                <w:rFonts w:cs="Times New Roman"/>
                <w:b w:val="0"/>
                <w:sz w:val="24"/>
              </w:rPr>
              <w:t>2011</w:t>
            </w:r>
          </w:p>
        </w:tc>
        <w:tc>
          <w:tcPr>
            <w:tcW w:w="3472" w:type="dxa"/>
          </w:tcPr>
          <w:p w:rsidR="00CF66B4" w:rsidRPr="002B09ED" w:rsidRDefault="00CF66B4" w:rsidP="00F0225D">
            <w:pPr>
              <w:spacing w:line="30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4"/>
              </w:rPr>
            </w:pPr>
            <w:r w:rsidRPr="002B09ED">
              <w:rPr>
                <w:rFonts w:cs="Times New Roman"/>
                <w:b/>
                <w:sz w:val="24"/>
              </w:rPr>
              <w:t>3.555</w:t>
            </w:r>
          </w:p>
        </w:tc>
      </w:tr>
    </w:tbl>
    <w:p w:rsidR="00CF66B4" w:rsidRPr="005E0D94" w:rsidRDefault="005E0D94" w:rsidP="005E0D94">
      <w:pPr>
        <w:spacing w:after="0" w:line="300" w:lineRule="auto"/>
        <w:ind w:left="1416" w:firstLine="708"/>
        <w:jc w:val="both"/>
        <w:rPr>
          <w:rFonts w:cs="Times New Roman"/>
          <w:sz w:val="20"/>
        </w:rPr>
      </w:pPr>
      <w:r w:rsidRPr="005E0D94">
        <w:rPr>
          <w:rFonts w:cs="Times New Roman"/>
          <w:b/>
          <w:sz w:val="20"/>
        </w:rPr>
        <w:t>Kaynak:</w:t>
      </w:r>
      <w:r w:rsidRPr="005E0D94">
        <w:rPr>
          <w:rFonts w:cs="Times New Roman"/>
          <w:sz w:val="20"/>
        </w:rPr>
        <w:t xml:space="preserve"> Türkiye İhracatçılar Meclisi </w:t>
      </w:r>
    </w:p>
    <w:p w:rsidR="007A5553" w:rsidRDefault="00FF6180" w:rsidP="00935E08">
      <w:pPr>
        <w:spacing w:after="0" w:line="300" w:lineRule="auto"/>
        <w:ind w:firstLine="340"/>
        <w:jc w:val="both"/>
        <w:rPr>
          <w:rFonts w:cs="Times New Roman"/>
          <w:sz w:val="24"/>
        </w:rPr>
      </w:pPr>
      <w:r>
        <w:rPr>
          <w:rFonts w:cs="Times New Roman"/>
          <w:sz w:val="24"/>
        </w:rPr>
        <w:t xml:space="preserve"> Türkiye’den İran’a gerçekleştirilen ihracat değerleri </w:t>
      </w:r>
      <w:r w:rsidR="00C16D0D">
        <w:rPr>
          <w:rFonts w:cs="Times New Roman"/>
          <w:sz w:val="24"/>
        </w:rPr>
        <w:t xml:space="preserve">incelendiğinde özellikle bir yılda 52 kat artış gösteren </w:t>
      </w:r>
      <w:r w:rsidR="00C16D0D" w:rsidRPr="001F234B">
        <w:rPr>
          <w:rFonts w:cs="Times New Roman"/>
          <w:i/>
          <w:sz w:val="24"/>
        </w:rPr>
        <w:t>değerli maden ve mücevher</w:t>
      </w:r>
      <w:r w:rsidR="00C16D0D">
        <w:rPr>
          <w:rFonts w:cs="Times New Roman"/>
          <w:sz w:val="24"/>
        </w:rPr>
        <w:t xml:space="preserve"> sektörü dikkat çekmektedir.</w:t>
      </w:r>
      <w:r w:rsidR="006C6671">
        <w:rPr>
          <w:rFonts w:cs="Times New Roman"/>
          <w:sz w:val="24"/>
        </w:rPr>
        <w:t xml:space="preserve"> </w:t>
      </w:r>
      <w:r w:rsidR="000067FC">
        <w:rPr>
          <w:rFonts w:cs="Times New Roman"/>
          <w:sz w:val="24"/>
        </w:rPr>
        <w:t>2014 yılında</w:t>
      </w:r>
      <w:r w:rsidR="001D2A30">
        <w:rPr>
          <w:rFonts w:cs="Times New Roman"/>
          <w:sz w:val="24"/>
        </w:rPr>
        <w:t xml:space="preserve"> Türkiye’den İran’a,</w:t>
      </w:r>
      <w:r w:rsidR="000067FC">
        <w:rPr>
          <w:rFonts w:cs="Times New Roman"/>
          <w:sz w:val="24"/>
        </w:rPr>
        <w:t xml:space="preserve"> 4 milyar dolara ulaşan ihracatın yaklaşık olarak yüzde 23’ünü bu sektör oluşturmaktadır.</w:t>
      </w:r>
      <w:r w:rsidR="00110A5C">
        <w:rPr>
          <w:rFonts w:cs="Times New Roman"/>
          <w:sz w:val="24"/>
        </w:rPr>
        <w:t xml:space="preserve"> Ancak burada özellikle belirtmekte fayda var ki Türkiye’nin İran’a ihraç ettiği değerli maden ve mücevherler</w:t>
      </w:r>
      <w:r w:rsidR="00935E08">
        <w:rPr>
          <w:rFonts w:cs="Times New Roman"/>
          <w:sz w:val="24"/>
        </w:rPr>
        <w:t>in</w:t>
      </w:r>
      <w:r w:rsidR="00110A5C">
        <w:rPr>
          <w:rFonts w:cs="Times New Roman"/>
          <w:sz w:val="24"/>
        </w:rPr>
        <w:t xml:space="preserve">, işlenmiş altın ve takılar olduğu </w:t>
      </w:r>
      <w:r w:rsidR="001D2A30">
        <w:rPr>
          <w:rFonts w:cs="Times New Roman"/>
          <w:sz w:val="24"/>
        </w:rPr>
        <w:t>önem arz etmektedir</w:t>
      </w:r>
      <w:r w:rsidR="00110A5C">
        <w:rPr>
          <w:rFonts w:cs="Times New Roman"/>
          <w:sz w:val="24"/>
        </w:rPr>
        <w:t>.</w:t>
      </w:r>
      <w:r w:rsidR="00935E08">
        <w:rPr>
          <w:rFonts w:cs="Times New Roman"/>
          <w:sz w:val="24"/>
        </w:rPr>
        <w:t xml:space="preserve"> İşlenmiş altın ve takılar özellikle bireysel müşterilere ihraç edilmiş olup uluslararası piyasalarda para yerine geçen finansal bir </w:t>
      </w:r>
      <w:proofErr w:type="gramStart"/>
      <w:r w:rsidR="00935E08">
        <w:rPr>
          <w:rFonts w:cs="Times New Roman"/>
          <w:sz w:val="24"/>
        </w:rPr>
        <w:t>enstrüman</w:t>
      </w:r>
      <w:proofErr w:type="gramEnd"/>
      <w:r w:rsidR="00935E08">
        <w:rPr>
          <w:rFonts w:cs="Times New Roman"/>
          <w:sz w:val="24"/>
        </w:rPr>
        <w:t xml:space="preserve"> olarak değerlendirilmemektedir. Yani Türkiye’nin İran’a ihraç ettiği ürünlerin finansal bir </w:t>
      </w:r>
      <w:proofErr w:type="gramStart"/>
      <w:r w:rsidR="00935E08">
        <w:rPr>
          <w:rFonts w:cs="Times New Roman"/>
          <w:sz w:val="24"/>
        </w:rPr>
        <w:t>enstrüman</w:t>
      </w:r>
      <w:proofErr w:type="gramEnd"/>
      <w:r w:rsidR="00935E08">
        <w:rPr>
          <w:rFonts w:cs="Times New Roman"/>
          <w:sz w:val="24"/>
        </w:rPr>
        <w:t xml:space="preserve"> olarak değerlendirilen külçe altın olmayıp ürün maliyetlerini artıran ve özellikle bireysel müşteriler tarafından tercih edilen işlenmiş altın ve takı olması İran’a uygulanan ticari yaptırımların delinmesi spekülasyonunu da </w:t>
      </w:r>
      <w:r w:rsidR="001D2A30">
        <w:rPr>
          <w:rFonts w:cs="Times New Roman"/>
          <w:sz w:val="24"/>
        </w:rPr>
        <w:t>ortadan kaldırmaktadır.</w:t>
      </w:r>
    </w:p>
    <w:p w:rsidR="006C1B65" w:rsidRPr="00103B20" w:rsidRDefault="006C1B65" w:rsidP="00935E08">
      <w:pPr>
        <w:spacing w:after="0" w:line="300" w:lineRule="auto"/>
        <w:ind w:firstLine="340"/>
        <w:jc w:val="both"/>
        <w:rPr>
          <w:rFonts w:cs="Times New Roman"/>
          <w:sz w:val="24"/>
        </w:rPr>
      </w:pPr>
    </w:p>
    <w:tbl>
      <w:tblPr>
        <w:tblStyle w:val="AkListe-Vurgu1"/>
        <w:tblW w:w="9744"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2648"/>
        <w:gridCol w:w="1905"/>
        <w:gridCol w:w="1905"/>
      </w:tblGrid>
      <w:tr w:rsidR="0048693A" w:rsidTr="00BF08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44" w:type="dxa"/>
            <w:gridSpan w:val="4"/>
          </w:tcPr>
          <w:p w:rsidR="0048693A" w:rsidRDefault="0048693A" w:rsidP="007D3831">
            <w:pPr>
              <w:spacing w:line="300" w:lineRule="auto"/>
              <w:jc w:val="both"/>
              <w:rPr>
                <w:rFonts w:cs="Times New Roman"/>
                <w:sz w:val="24"/>
              </w:rPr>
            </w:pPr>
            <w:r>
              <w:rPr>
                <w:rFonts w:cs="Times New Roman"/>
                <w:sz w:val="24"/>
              </w:rPr>
              <w:t>Türkiye’den İran’a</w:t>
            </w:r>
            <w:r w:rsidR="007D3831">
              <w:rPr>
                <w:rFonts w:cs="Times New Roman"/>
                <w:sz w:val="24"/>
              </w:rPr>
              <w:t xml:space="preserve"> </w:t>
            </w:r>
            <w:proofErr w:type="spellStart"/>
            <w:r w:rsidR="007D3831">
              <w:rPr>
                <w:rFonts w:cs="Times New Roman"/>
                <w:sz w:val="24"/>
              </w:rPr>
              <w:t>Sektörel</w:t>
            </w:r>
            <w:proofErr w:type="spellEnd"/>
            <w:r w:rsidR="007D3831">
              <w:rPr>
                <w:rFonts w:cs="Times New Roman"/>
                <w:sz w:val="24"/>
              </w:rPr>
              <w:t xml:space="preserve"> Bazda</w:t>
            </w:r>
            <w:r>
              <w:rPr>
                <w:rFonts w:cs="Times New Roman"/>
                <w:sz w:val="24"/>
              </w:rPr>
              <w:t xml:space="preserve"> İhracat Değerleri (mily</w:t>
            </w:r>
            <w:r w:rsidR="007D3831">
              <w:rPr>
                <w:rFonts w:cs="Times New Roman"/>
                <w:sz w:val="24"/>
              </w:rPr>
              <w:t>on</w:t>
            </w:r>
            <w:r>
              <w:rPr>
                <w:rFonts w:cs="Times New Roman"/>
                <w:sz w:val="24"/>
              </w:rPr>
              <w:t xml:space="preserve"> dolar)</w:t>
            </w:r>
          </w:p>
        </w:tc>
      </w:tr>
      <w:tr w:rsidR="00793E43" w:rsidTr="00BF0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6" w:type="dxa"/>
            <w:tcBorders>
              <w:top w:val="none" w:sz="0" w:space="0" w:color="auto"/>
              <w:left w:val="none" w:sz="0" w:space="0" w:color="auto"/>
              <w:bottom w:val="none" w:sz="0" w:space="0" w:color="auto"/>
            </w:tcBorders>
          </w:tcPr>
          <w:p w:rsidR="00793E43" w:rsidRDefault="00793E43" w:rsidP="002A13F3">
            <w:pPr>
              <w:spacing w:line="300" w:lineRule="auto"/>
              <w:jc w:val="both"/>
              <w:rPr>
                <w:rFonts w:cs="Times New Roman"/>
                <w:b w:val="0"/>
                <w:sz w:val="24"/>
              </w:rPr>
            </w:pPr>
          </w:p>
        </w:tc>
        <w:tc>
          <w:tcPr>
            <w:tcW w:w="2648" w:type="dxa"/>
            <w:tcBorders>
              <w:top w:val="none" w:sz="0" w:space="0" w:color="auto"/>
              <w:bottom w:val="none" w:sz="0" w:space="0" w:color="auto"/>
            </w:tcBorders>
          </w:tcPr>
          <w:p w:rsidR="00793E43" w:rsidRPr="002B09ED" w:rsidRDefault="00C9682C" w:rsidP="002A13F3">
            <w:pPr>
              <w:spacing w:line="30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4"/>
              </w:rPr>
            </w:pPr>
            <w:r>
              <w:rPr>
                <w:rFonts w:cs="Times New Roman"/>
                <w:b/>
                <w:sz w:val="24"/>
              </w:rPr>
              <w:t>2013</w:t>
            </w:r>
          </w:p>
        </w:tc>
        <w:tc>
          <w:tcPr>
            <w:tcW w:w="1905" w:type="dxa"/>
            <w:tcBorders>
              <w:top w:val="none" w:sz="0" w:space="0" w:color="auto"/>
              <w:bottom w:val="none" w:sz="0" w:space="0" w:color="auto"/>
            </w:tcBorders>
          </w:tcPr>
          <w:p w:rsidR="00793E43" w:rsidRPr="002B09ED" w:rsidRDefault="00C9682C" w:rsidP="002A13F3">
            <w:pPr>
              <w:spacing w:line="30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4"/>
              </w:rPr>
            </w:pPr>
            <w:r>
              <w:rPr>
                <w:rFonts w:cs="Times New Roman"/>
                <w:b/>
                <w:sz w:val="24"/>
              </w:rPr>
              <w:t>2014</w:t>
            </w:r>
          </w:p>
        </w:tc>
        <w:tc>
          <w:tcPr>
            <w:tcW w:w="1905" w:type="dxa"/>
            <w:tcBorders>
              <w:top w:val="none" w:sz="0" w:space="0" w:color="auto"/>
              <w:bottom w:val="none" w:sz="0" w:space="0" w:color="auto"/>
              <w:right w:val="none" w:sz="0" w:space="0" w:color="auto"/>
            </w:tcBorders>
          </w:tcPr>
          <w:p w:rsidR="00793E43" w:rsidRPr="002B09ED" w:rsidRDefault="00C9682C" w:rsidP="002A13F3">
            <w:pPr>
              <w:spacing w:line="30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4"/>
              </w:rPr>
            </w:pPr>
            <w:r>
              <w:rPr>
                <w:rFonts w:cs="Times New Roman"/>
                <w:b/>
                <w:sz w:val="24"/>
              </w:rPr>
              <w:t>Değişim</w:t>
            </w:r>
          </w:p>
        </w:tc>
      </w:tr>
      <w:tr w:rsidR="007A4DD8" w:rsidTr="00BF08BD">
        <w:trPr>
          <w:jc w:val="center"/>
        </w:trPr>
        <w:tc>
          <w:tcPr>
            <w:cnfStyle w:val="001000000000" w:firstRow="0" w:lastRow="0" w:firstColumn="1" w:lastColumn="0" w:oddVBand="0" w:evenVBand="0" w:oddHBand="0" w:evenHBand="0" w:firstRowFirstColumn="0" w:firstRowLastColumn="0" w:lastRowFirstColumn="0" w:lastRowLastColumn="0"/>
            <w:tcW w:w="3286" w:type="dxa"/>
          </w:tcPr>
          <w:p w:rsidR="007A4DD8" w:rsidRPr="00C43DF6" w:rsidRDefault="00793E43" w:rsidP="002A13F3">
            <w:pPr>
              <w:spacing w:line="300" w:lineRule="auto"/>
              <w:jc w:val="both"/>
              <w:rPr>
                <w:rFonts w:cs="Times New Roman"/>
                <w:sz w:val="24"/>
              </w:rPr>
            </w:pPr>
            <w:r w:rsidRPr="00C43DF6">
              <w:rPr>
                <w:rFonts w:cs="Times New Roman"/>
                <w:sz w:val="24"/>
              </w:rPr>
              <w:t>Ağaç ve Mamulleri</w:t>
            </w:r>
          </w:p>
        </w:tc>
        <w:tc>
          <w:tcPr>
            <w:tcW w:w="2648" w:type="dxa"/>
          </w:tcPr>
          <w:p w:rsidR="007A4DD8" w:rsidRPr="00C43DF6" w:rsidRDefault="00C9682C" w:rsidP="002A13F3">
            <w:pPr>
              <w:spacing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C43DF6">
              <w:rPr>
                <w:rFonts w:cs="Times New Roman"/>
                <w:sz w:val="24"/>
              </w:rPr>
              <w:t>305,1</w:t>
            </w:r>
          </w:p>
        </w:tc>
        <w:tc>
          <w:tcPr>
            <w:tcW w:w="1905" w:type="dxa"/>
          </w:tcPr>
          <w:p w:rsidR="007A4DD8" w:rsidRPr="00C43DF6" w:rsidRDefault="00C9682C" w:rsidP="002A13F3">
            <w:pPr>
              <w:spacing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C43DF6">
              <w:rPr>
                <w:rFonts w:cs="Times New Roman"/>
                <w:sz w:val="24"/>
              </w:rPr>
              <w:t>368,3</w:t>
            </w:r>
          </w:p>
        </w:tc>
        <w:tc>
          <w:tcPr>
            <w:tcW w:w="1905" w:type="dxa"/>
          </w:tcPr>
          <w:p w:rsidR="007A4DD8" w:rsidRPr="00C43DF6" w:rsidRDefault="00C9682C" w:rsidP="002A13F3">
            <w:pPr>
              <w:spacing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C43DF6">
              <w:rPr>
                <w:rFonts w:cs="Times New Roman"/>
                <w:sz w:val="24"/>
              </w:rPr>
              <w:t>% 20</w:t>
            </w:r>
          </w:p>
        </w:tc>
      </w:tr>
      <w:tr w:rsidR="00C709B8" w:rsidTr="00BF0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6" w:type="dxa"/>
            <w:tcBorders>
              <w:top w:val="none" w:sz="0" w:space="0" w:color="auto"/>
              <w:left w:val="none" w:sz="0" w:space="0" w:color="auto"/>
              <w:bottom w:val="none" w:sz="0" w:space="0" w:color="auto"/>
            </w:tcBorders>
          </w:tcPr>
          <w:p w:rsidR="00C709B8" w:rsidRPr="00C43DF6" w:rsidRDefault="00C709B8" w:rsidP="002A13F3">
            <w:pPr>
              <w:spacing w:line="300" w:lineRule="auto"/>
              <w:jc w:val="both"/>
              <w:rPr>
                <w:rFonts w:cs="Times New Roman"/>
                <w:sz w:val="24"/>
              </w:rPr>
            </w:pPr>
            <w:r w:rsidRPr="00C43DF6">
              <w:rPr>
                <w:rFonts w:cs="Times New Roman"/>
                <w:sz w:val="24"/>
              </w:rPr>
              <w:t>Değerli Maden ve Mücevher</w:t>
            </w:r>
          </w:p>
        </w:tc>
        <w:tc>
          <w:tcPr>
            <w:tcW w:w="2648" w:type="dxa"/>
            <w:tcBorders>
              <w:top w:val="none" w:sz="0" w:space="0" w:color="auto"/>
              <w:bottom w:val="none" w:sz="0" w:space="0" w:color="auto"/>
            </w:tcBorders>
          </w:tcPr>
          <w:p w:rsidR="00C709B8" w:rsidRPr="00C43DF6" w:rsidRDefault="00C709B8" w:rsidP="002A13F3">
            <w:pPr>
              <w:spacing w:line="30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C43DF6">
              <w:rPr>
                <w:rFonts w:cs="Times New Roman"/>
                <w:sz w:val="24"/>
              </w:rPr>
              <w:t>17,8</w:t>
            </w:r>
          </w:p>
        </w:tc>
        <w:tc>
          <w:tcPr>
            <w:tcW w:w="1905" w:type="dxa"/>
            <w:tcBorders>
              <w:top w:val="none" w:sz="0" w:space="0" w:color="auto"/>
              <w:bottom w:val="none" w:sz="0" w:space="0" w:color="auto"/>
            </w:tcBorders>
          </w:tcPr>
          <w:p w:rsidR="00C709B8" w:rsidRPr="00C43DF6" w:rsidRDefault="00C709B8" w:rsidP="002A13F3">
            <w:pPr>
              <w:spacing w:line="30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C43DF6">
              <w:rPr>
                <w:rFonts w:cs="Times New Roman"/>
                <w:sz w:val="24"/>
              </w:rPr>
              <w:t>932,3</w:t>
            </w:r>
          </w:p>
        </w:tc>
        <w:tc>
          <w:tcPr>
            <w:tcW w:w="1905" w:type="dxa"/>
            <w:tcBorders>
              <w:top w:val="none" w:sz="0" w:space="0" w:color="auto"/>
              <w:bottom w:val="none" w:sz="0" w:space="0" w:color="auto"/>
              <w:right w:val="none" w:sz="0" w:space="0" w:color="auto"/>
            </w:tcBorders>
          </w:tcPr>
          <w:p w:rsidR="00C709B8" w:rsidRPr="00C43DF6" w:rsidRDefault="00C709B8" w:rsidP="002A13F3">
            <w:pPr>
              <w:spacing w:line="30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C43DF6">
              <w:rPr>
                <w:rFonts w:cs="Times New Roman"/>
                <w:sz w:val="24"/>
              </w:rPr>
              <w:t>% 5137</w:t>
            </w:r>
          </w:p>
        </w:tc>
      </w:tr>
      <w:tr w:rsidR="0048693A" w:rsidTr="00BF08BD">
        <w:trPr>
          <w:jc w:val="center"/>
        </w:trPr>
        <w:tc>
          <w:tcPr>
            <w:cnfStyle w:val="001000000000" w:firstRow="0" w:lastRow="0" w:firstColumn="1" w:lastColumn="0" w:oddVBand="0" w:evenVBand="0" w:oddHBand="0" w:evenHBand="0" w:firstRowFirstColumn="0" w:firstRowLastColumn="0" w:lastRowFirstColumn="0" w:lastRowLastColumn="0"/>
            <w:tcW w:w="3286" w:type="dxa"/>
          </w:tcPr>
          <w:p w:rsidR="0048693A" w:rsidRPr="00C43DF6" w:rsidRDefault="007A4DD8" w:rsidP="002A13F3">
            <w:pPr>
              <w:spacing w:line="300" w:lineRule="auto"/>
              <w:jc w:val="both"/>
              <w:rPr>
                <w:rFonts w:cs="Times New Roman"/>
                <w:sz w:val="24"/>
              </w:rPr>
            </w:pPr>
            <w:r w:rsidRPr="00C43DF6">
              <w:rPr>
                <w:rFonts w:cs="Times New Roman"/>
                <w:sz w:val="24"/>
              </w:rPr>
              <w:t xml:space="preserve">Demir ve Demir Dışı Metaller </w:t>
            </w:r>
          </w:p>
        </w:tc>
        <w:tc>
          <w:tcPr>
            <w:tcW w:w="2648" w:type="dxa"/>
          </w:tcPr>
          <w:p w:rsidR="0048693A" w:rsidRPr="00C43DF6" w:rsidRDefault="00C9682C" w:rsidP="002A13F3">
            <w:pPr>
              <w:spacing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C43DF6">
              <w:rPr>
                <w:rFonts w:cs="Times New Roman"/>
                <w:sz w:val="24"/>
              </w:rPr>
              <w:t>142,8</w:t>
            </w:r>
          </w:p>
        </w:tc>
        <w:tc>
          <w:tcPr>
            <w:tcW w:w="1905" w:type="dxa"/>
          </w:tcPr>
          <w:p w:rsidR="0048693A" w:rsidRPr="00C43DF6" w:rsidRDefault="00C9682C" w:rsidP="002A13F3">
            <w:pPr>
              <w:spacing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C43DF6">
              <w:rPr>
                <w:rFonts w:cs="Times New Roman"/>
                <w:sz w:val="24"/>
              </w:rPr>
              <w:t>216,6</w:t>
            </w:r>
          </w:p>
        </w:tc>
        <w:tc>
          <w:tcPr>
            <w:tcW w:w="1905" w:type="dxa"/>
          </w:tcPr>
          <w:p w:rsidR="0048693A" w:rsidRPr="00C43DF6" w:rsidRDefault="00C9682C" w:rsidP="002A13F3">
            <w:pPr>
              <w:spacing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C43DF6">
              <w:rPr>
                <w:rFonts w:cs="Times New Roman"/>
                <w:sz w:val="24"/>
              </w:rPr>
              <w:t>% 51</w:t>
            </w:r>
          </w:p>
        </w:tc>
      </w:tr>
      <w:tr w:rsidR="0048693A" w:rsidTr="00BF0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6" w:type="dxa"/>
            <w:tcBorders>
              <w:top w:val="none" w:sz="0" w:space="0" w:color="auto"/>
              <w:left w:val="none" w:sz="0" w:space="0" w:color="auto"/>
              <w:bottom w:val="none" w:sz="0" w:space="0" w:color="auto"/>
            </w:tcBorders>
          </w:tcPr>
          <w:p w:rsidR="0048693A" w:rsidRPr="00C43DF6" w:rsidRDefault="00793E43" w:rsidP="002A13F3">
            <w:pPr>
              <w:spacing w:line="300" w:lineRule="auto"/>
              <w:jc w:val="both"/>
              <w:rPr>
                <w:rFonts w:cs="Times New Roman"/>
                <w:sz w:val="24"/>
              </w:rPr>
            </w:pPr>
            <w:r w:rsidRPr="00C43DF6">
              <w:rPr>
                <w:rFonts w:cs="Times New Roman"/>
                <w:sz w:val="24"/>
              </w:rPr>
              <w:t>Makine ve Aksamları</w:t>
            </w:r>
          </w:p>
        </w:tc>
        <w:tc>
          <w:tcPr>
            <w:tcW w:w="2648" w:type="dxa"/>
            <w:tcBorders>
              <w:top w:val="none" w:sz="0" w:space="0" w:color="auto"/>
              <w:bottom w:val="none" w:sz="0" w:space="0" w:color="auto"/>
            </w:tcBorders>
          </w:tcPr>
          <w:p w:rsidR="0048693A" w:rsidRPr="00C43DF6" w:rsidRDefault="00C9682C" w:rsidP="002A13F3">
            <w:pPr>
              <w:spacing w:line="30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C43DF6">
              <w:rPr>
                <w:rFonts w:cs="Times New Roman"/>
                <w:sz w:val="24"/>
              </w:rPr>
              <w:t>244,2</w:t>
            </w:r>
          </w:p>
        </w:tc>
        <w:tc>
          <w:tcPr>
            <w:tcW w:w="1905" w:type="dxa"/>
            <w:tcBorders>
              <w:top w:val="none" w:sz="0" w:space="0" w:color="auto"/>
              <w:bottom w:val="none" w:sz="0" w:space="0" w:color="auto"/>
            </w:tcBorders>
          </w:tcPr>
          <w:p w:rsidR="0048693A" w:rsidRPr="00C43DF6" w:rsidRDefault="00C9682C" w:rsidP="002A13F3">
            <w:pPr>
              <w:spacing w:line="30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C43DF6">
              <w:rPr>
                <w:rFonts w:cs="Times New Roman"/>
                <w:sz w:val="24"/>
              </w:rPr>
              <w:t>322,9</w:t>
            </w:r>
          </w:p>
        </w:tc>
        <w:tc>
          <w:tcPr>
            <w:tcW w:w="1905" w:type="dxa"/>
            <w:tcBorders>
              <w:top w:val="none" w:sz="0" w:space="0" w:color="auto"/>
              <w:bottom w:val="none" w:sz="0" w:space="0" w:color="auto"/>
              <w:right w:val="none" w:sz="0" w:space="0" w:color="auto"/>
            </w:tcBorders>
          </w:tcPr>
          <w:p w:rsidR="0048693A" w:rsidRPr="00C43DF6" w:rsidRDefault="00C9682C" w:rsidP="002A13F3">
            <w:pPr>
              <w:spacing w:line="30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C43DF6">
              <w:rPr>
                <w:rFonts w:cs="Times New Roman"/>
                <w:sz w:val="24"/>
              </w:rPr>
              <w:t>% 32</w:t>
            </w:r>
          </w:p>
        </w:tc>
      </w:tr>
      <w:tr w:rsidR="0048693A" w:rsidTr="00BF08BD">
        <w:trPr>
          <w:jc w:val="center"/>
        </w:trPr>
        <w:tc>
          <w:tcPr>
            <w:cnfStyle w:val="001000000000" w:firstRow="0" w:lastRow="0" w:firstColumn="1" w:lastColumn="0" w:oddVBand="0" w:evenVBand="0" w:oddHBand="0" w:evenHBand="0" w:firstRowFirstColumn="0" w:firstRowLastColumn="0" w:lastRowFirstColumn="0" w:lastRowLastColumn="0"/>
            <w:tcW w:w="3286" w:type="dxa"/>
          </w:tcPr>
          <w:p w:rsidR="0048693A" w:rsidRPr="00C43DF6" w:rsidRDefault="00793E43" w:rsidP="002A13F3">
            <w:pPr>
              <w:spacing w:line="300" w:lineRule="auto"/>
              <w:jc w:val="both"/>
              <w:rPr>
                <w:rFonts w:cs="Times New Roman"/>
                <w:sz w:val="24"/>
              </w:rPr>
            </w:pPr>
            <w:r w:rsidRPr="00C43DF6">
              <w:rPr>
                <w:rFonts w:cs="Times New Roman"/>
                <w:sz w:val="24"/>
              </w:rPr>
              <w:t>Tekstil ve Hammaddeleri</w:t>
            </w:r>
          </w:p>
        </w:tc>
        <w:tc>
          <w:tcPr>
            <w:tcW w:w="2648" w:type="dxa"/>
          </w:tcPr>
          <w:p w:rsidR="00C709B8" w:rsidRPr="00C43DF6" w:rsidRDefault="00C709B8" w:rsidP="00C709B8">
            <w:pPr>
              <w:spacing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C43DF6">
              <w:rPr>
                <w:rFonts w:cs="Times New Roman"/>
                <w:sz w:val="24"/>
              </w:rPr>
              <w:t>240,3</w:t>
            </w:r>
          </w:p>
        </w:tc>
        <w:tc>
          <w:tcPr>
            <w:tcW w:w="1905" w:type="dxa"/>
          </w:tcPr>
          <w:p w:rsidR="0048693A" w:rsidRPr="00C43DF6" w:rsidRDefault="00C709B8" w:rsidP="002A13F3">
            <w:pPr>
              <w:spacing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C43DF6">
              <w:rPr>
                <w:rFonts w:cs="Times New Roman"/>
                <w:sz w:val="24"/>
              </w:rPr>
              <w:t>341,0</w:t>
            </w:r>
          </w:p>
        </w:tc>
        <w:tc>
          <w:tcPr>
            <w:tcW w:w="1905" w:type="dxa"/>
          </w:tcPr>
          <w:p w:rsidR="0048693A" w:rsidRPr="00C43DF6" w:rsidRDefault="00C709B8" w:rsidP="002A13F3">
            <w:pPr>
              <w:spacing w:line="30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C43DF6">
              <w:rPr>
                <w:rFonts w:cs="Times New Roman"/>
                <w:sz w:val="24"/>
              </w:rPr>
              <w:t>% 41</w:t>
            </w:r>
          </w:p>
        </w:tc>
      </w:tr>
    </w:tbl>
    <w:p w:rsidR="00103B20" w:rsidRPr="005E0D94" w:rsidRDefault="005E0D94" w:rsidP="005E0D94">
      <w:pPr>
        <w:spacing w:after="0" w:line="300" w:lineRule="auto"/>
        <w:jc w:val="both"/>
        <w:rPr>
          <w:rFonts w:cs="Times New Roman"/>
          <w:sz w:val="20"/>
        </w:rPr>
      </w:pPr>
      <w:r w:rsidRPr="005E0D94">
        <w:rPr>
          <w:rFonts w:cs="Times New Roman"/>
          <w:b/>
          <w:sz w:val="20"/>
        </w:rPr>
        <w:t>Kaynak:</w:t>
      </w:r>
      <w:r w:rsidRPr="005E0D94">
        <w:rPr>
          <w:rFonts w:cs="Times New Roman"/>
          <w:sz w:val="20"/>
        </w:rPr>
        <w:t xml:space="preserve"> Türkiye İhracatçılar Meclisi </w:t>
      </w:r>
    </w:p>
    <w:p w:rsidR="007B4579" w:rsidRDefault="007B4579" w:rsidP="000D7225">
      <w:pPr>
        <w:spacing w:after="0" w:line="300" w:lineRule="auto"/>
        <w:ind w:firstLine="340"/>
        <w:jc w:val="both"/>
        <w:rPr>
          <w:rFonts w:cs="Times New Roman"/>
          <w:sz w:val="24"/>
        </w:rPr>
      </w:pPr>
      <w:r>
        <w:rPr>
          <w:rFonts w:cs="Times New Roman"/>
          <w:sz w:val="24"/>
        </w:rPr>
        <w:t>Türkiye ve İran arasında ticaret hacmi 2012 yılında 21,9 milyar dolar, 2013 yılında 14,6 milyar dolar, 2014 yılında ise 15 milyar dolar seviyelerinde gerçekleşmiştir.</w:t>
      </w:r>
      <w:r w:rsidR="001F234B">
        <w:rPr>
          <w:rFonts w:cs="Times New Roman"/>
          <w:sz w:val="24"/>
        </w:rPr>
        <w:t xml:space="preserve"> Tercihli Ticaret Anlaşması’nın devreye girmesiyle birlikte iki ülke arasındaki ticaret hacminin hedeflenen 35 milyar dolara ulaşması hususunda hiçbir engel bulunmamaktadır.</w:t>
      </w:r>
    </w:p>
    <w:p w:rsidR="00D544EE" w:rsidRPr="00C00C5C" w:rsidRDefault="00D544EE" w:rsidP="003901CA">
      <w:pPr>
        <w:spacing w:after="0" w:line="300" w:lineRule="auto"/>
        <w:jc w:val="both"/>
        <w:rPr>
          <w:rFonts w:cs="Times New Roman"/>
          <w:sz w:val="24"/>
        </w:rPr>
      </w:pPr>
    </w:p>
    <w:sectPr w:rsidR="00D544EE" w:rsidRPr="00C00C5C" w:rsidSect="006D4DA4">
      <w:headerReference w:type="default" r:id="rId10"/>
      <w:footerReference w:type="default" r:id="rId11"/>
      <w:pgSz w:w="11906" w:h="16838"/>
      <w:pgMar w:top="1202" w:right="1417" w:bottom="567" w:left="1417" w:header="426" w:footer="1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868" w:rsidRDefault="00C13868" w:rsidP="00AC7395">
      <w:pPr>
        <w:spacing w:after="0" w:line="240" w:lineRule="auto"/>
      </w:pPr>
      <w:r>
        <w:separator/>
      </w:r>
    </w:p>
  </w:endnote>
  <w:endnote w:type="continuationSeparator" w:id="0">
    <w:p w:rsidR="00C13868" w:rsidRDefault="00C13868" w:rsidP="00AC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5C" w:rsidRDefault="00C13868" w:rsidP="00775C5C">
    <w:pPr>
      <w:pStyle w:val="Altbilgi"/>
    </w:pPr>
    <w:sdt>
      <w:sdtPr>
        <w:rPr>
          <w:b/>
          <w:color w:val="1F497D" w:themeColor="text2"/>
          <w:sz w:val="24"/>
          <w:szCs w:val="24"/>
        </w:rPr>
        <w:alias w:val="Yazar"/>
        <w:id w:val="725725618"/>
        <w:placeholder>
          <w:docPart w:val="82344774E9AC4EFF821AF3DAF4439CA7"/>
        </w:placeholder>
        <w:dataBinding w:prefixMappings="xmlns:ns0='http://schemas.openxmlformats.org/package/2006/metadata/core-properties' xmlns:ns1='http://purl.org/dc/elements/1.1/'" w:xpath="/ns0:coreProperties[1]/ns1:creator[1]" w:storeItemID="{6C3C8BC8-F283-45AE-878A-BAB7291924A1}"/>
        <w:text/>
      </w:sdtPr>
      <w:sdtEndPr/>
      <w:sdtContent>
        <w:r w:rsidR="009D6C9A">
          <w:rPr>
            <w:b/>
            <w:color w:val="1F497D" w:themeColor="text2"/>
            <w:sz w:val="24"/>
            <w:szCs w:val="24"/>
          </w:rPr>
          <w:t>Ekonomik Araştırmalar ve Proje Müdürlüğü</w:t>
        </w:r>
      </w:sdtContent>
    </w:sdt>
    <w:r w:rsidR="00775C5C">
      <w:rPr>
        <w:noProof/>
        <w:lang w:eastAsia="tr-TR"/>
      </w:rPr>
      <mc:AlternateContent>
        <mc:Choice Requires="wps">
          <w:drawing>
            <wp:anchor distT="0" distB="0" distL="114300" distR="114300" simplePos="0" relativeHeight="251659264" behindDoc="0" locked="0" layoutInCell="1" allowOverlap="1" wp14:anchorId="3AD82BCD" wp14:editId="1215258D">
              <wp:simplePos x="0" y="0"/>
              <wp:positionH relativeFrom="margin">
                <wp:align>right</wp:align>
              </wp:positionH>
              <wp:positionV relativeFrom="bottomMargin">
                <wp:align>top</wp:align>
              </wp:positionV>
              <wp:extent cx="1508760" cy="395605"/>
              <wp:effectExtent l="0" t="0" r="0" b="0"/>
              <wp:wrapNone/>
              <wp:docPr id="56" name="Metin Kutusu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775C5C" w:rsidRPr="00E84250" w:rsidRDefault="00775C5C" w:rsidP="00775C5C">
                          <w:pPr>
                            <w:pStyle w:val="Altbilgi"/>
                            <w:jc w:val="right"/>
                            <w:rPr>
                              <w:rFonts w:asciiTheme="majorHAnsi" w:hAnsiTheme="majorHAnsi"/>
                              <w:b/>
                              <w:color w:val="1F497D" w:themeColor="text2"/>
                              <w:szCs w:val="40"/>
                            </w:rPr>
                          </w:pPr>
                          <w:r w:rsidRPr="00E84250">
                            <w:rPr>
                              <w:rFonts w:asciiTheme="majorHAnsi" w:hAnsiTheme="majorHAnsi"/>
                              <w:b/>
                              <w:color w:val="1F497D" w:themeColor="text2"/>
                              <w:szCs w:val="40"/>
                            </w:rPr>
                            <w:fldChar w:fldCharType="begin"/>
                          </w:r>
                          <w:r w:rsidRPr="00E84250">
                            <w:rPr>
                              <w:rFonts w:asciiTheme="majorHAnsi" w:hAnsiTheme="majorHAnsi"/>
                              <w:b/>
                              <w:color w:val="1F497D" w:themeColor="text2"/>
                              <w:szCs w:val="40"/>
                            </w:rPr>
                            <w:instrText>PAGE  \* Arabic  \* MERGEFORMAT</w:instrText>
                          </w:r>
                          <w:r w:rsidRPr="00E84250">
                            <w:rPr>
                              <w:rFonts w:asciiTheme="majorHAnsi" w:hAnsiTheme="majorHAnsi"/>
                              <w:b/>
                              <w:color w:val="1F497D" w:themeColor="text2"/>
                              <w:szCs w:val="40"/>
                            </w:rPr>
                            <w:fldChar w:fldCharType="separate"/>
                          </w:r>
                          <w:r w:rsidR="00FC673F">
                            <w:rPr>
                              <w:rFonts w:asciiTheme="majorHAnsi" w:hAnsiTheme="majorHAnsi"/>
                              <w:b/>
                              <w:noProof/>
                              <w:color w:val="1F497D" w:themeColor="text2"/>
                              <w:szCs w:val="40"/>
                            </w:rPr>
                            <w:t>1</w:t>
                          </w:r>
                          <w:r w:rsidRPr="00E84250">
                            <w:rPr>
                              <w:rFonts w:asciiTheme="majorHAnsi" w:hAnsiTheme="majorHAnsi"/>
                              <w:b/>
                              <w:color w:val="1F497D" w:themeColor="text2"/>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" filled="f" stroked="f" strokeweight=".5pt">
              <v:textbox style="mso-fit-shape-to-text:t">
                <w:txbxContent>
                  <w:p w:rsidR="00775C5C" w:rsidRPr="00E84250" w:rsidRDefault="00775C5C" w:rsidP="00775C5C">
                    <w:pPr>
                      <w:pStyle w:val="Altbilgi"/>
                      <w:jc w:val="right"/>
                      <w:rPr>
                        <w:rFonts w:asciiTheme="majorHAnsi" w:hAnsiTheme="majorHAnsi"/>
                        <w:b/>
                        <w:color w:val="1F497D" w:themeColor="text2"/>
                        <w:szCs w:val="40"/>
                      </w:rPr>
                    </w:pPr>
                    <w:r w:rsidRPr="00E84250">
                      <w:rPr>
                        <w:rFonts w:asciiTheme="majorHAnsi" w:hAnsiTheme="majorHAnsi"/>
                        <w:b/>
                        <w:color w:val="1F497D" w:themeColor="text2"/>
                        <w:szCs w:val="40"/>
                      </w:rPr>
                      <w:fldChar w:fldCharType="begin"/>
                    </w:r>
                    <w:r w:rsidRPr="00E84250">
                      <w:rPr>
                        <w:rFonts w:asciiTheme="majorHAnsi" w:hAnsiTheme="majorHAnsi"/>
                        <w:b/>
                        <w:color w:val="1F497D" w:themeColor="text2"/>
                        <w:szCs w:val="40"/>
                      </w:rPr>
                      <w:instrText>PAGE  \* Arabic  \* MERGEFORMAT</w:instrText>
                    </w:r>
                    <w:r w:rsidRPr="00E84250">
                      <w:rPr>
                        <w:rFonts w:asciiTheme="majorHAnsi" w:hAnsiTheme="majorHAnsi"/>
                        <w:b/>
                        <w:color w:val="1F497D" w:themeColor="text2"/>
                        <w:szCs w:val="40"/>
                      </w:rPr>
                      <w:fldChar w:fldCharType="separate"/>
                    </w:r>
                    <w:r w:rsidR="00FC673F">
                      <w:rPr>
                        <w:rFonts w:asciiTheme="majorHAnsi" w:hAnsiTheme="majorHAnsi"/>
                        <w:b/>
                        <w:noProof/>
                        <w:color w:val="1F497D" w:themeColor="text2"/>
                        <w:szCs w:val="40"/>
                      </w:rPr>
                      <w:t>1</w:t>
                    </w:r>
                    <w:r w:rsidRPr="00E84250">
                      <w:rPr>
                        <w:rFonts w:asciiTheme="majorHAnsi" w:hAnsiTheme="majorHAnsi"/>
                        <w:b/>
                        <w:color w:val="1F497D" w:themeColor="text2"/>
                        <w:szCs w:val="40"/>
                      </w:rPr>
                      <w:fldChar w:fldCharType="end"/>
                    </w:r>
                  </w:p>
                </w:txbxContent>
              </v:textbox>
              <w10:wrap anchorx="margin" anchory="margin"/>
            </v:shape>
          </w:pict>
        </mc:Fallback>
      </mc:AlternateContent>
    </w:r>
    <w:r w:rsidR="00775C5C">
      <w:rPr>
        <w:noProof/>
        <w:color w:val="4F81BD" w:themeColor="accent1"/>
        <w:lang w:eastAsia="tr-TR"/>
      </w:rPr>
      <mc:AlternateContent>
        <mc:Choice Requires="wps">
          <w:drawing>
            <wp:anchor distT="91440" distB="91440" distL="114300" distR="114300" simplePos="0" relativeHeight="251660288" behindDoc="1" locked="0" layoutInCell="1" allowOverlap="1" wp14:anchorId="504E500A" wp14:editId="676163DA">
              <wp:simplePos x="0" y="0"/>
              <wp:positionH relativeFrom="margin">
                <wp:align>center</wp:align>
              </wp:positionH>
              <wp:positionV relativeFrom="bottomMargin">
                <wp:align>top</wp:align>
              </wp:positionV>
              <wp:extent cx="5943600" cy="36195"/>
              <wp:effectExtent l="0" t="0" r="0" b="0"/>
              <wp:wrapSquare wrapText="bothSides"/>
              <wp:docPr id="58" name="Dikdörtgen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" fillcolor="#4f81bd [3204]" stroked="f" strokeweight="2pt">
              <w10:wrap type="square" anchorx="margin" anchory="margin"/>
            </v:rect>
          </w:pict>
        </mc:Fallback>
      </mc:AlternateContent>
    </w:r>
  </w:p>
  <w:p w:rsidR="00775C5C" w:rsidRDefault="00775C5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868" w:rsidRDefault="00C13868" w:rsidP="00AC7395">
      <w:pPr>
        <w:spacing w:after="0" w:line="240" w:lineRule="auto"/>
      </w:pPr>
      <w:r>
        <w:separator/>
      </w:r>
    </w:p>
  </w:footnote>
  <w:footnote w:type="continuationSeparator" w:id="0">
    <w:p w:rsidR="00C13868" w:rsidRDefault="00C13868" w:rsidP="00AC7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7759"/>
    </w:tblGrid>
    <w:tr w:rsidR="00AC7395" w:rsidTr="00105CC3">
      <w:trPr>
        <w:trHeight w:val="1118"/>
        <w:jc w:val="center"/>
      </w:trPr>
      <w:tc>
        <w:tcPr>
          <w:tcW w:w="1079" w:type="pct"/>
          <w:shd w:val="clear" w:color="auto" w:fill="FFFFFF" w:themeFill="background1"/>
        </w:tcPr>
        <w:p w:rsidR="00AC7395" w:rsidRDefault="00AC7395" w:rsidP="00105CC3">
          <w:pPr>
            <w:pStyle w:val="stbilgi"/>
            <w:rPr>
              <w:color w:val="FFFFFF" w:themeColor="background1"/>
            </w:rPr>
          </w:pPr>
          <w:r>
            <w:rPr>
              <w:noProof/>
              <w:color w:val="FFFFFF" w:themeColor="background1"/>
              <w:lang w:eastAsia="tr-TR"/>
            </w:rPr>
            <w:drawing>
              <wp:inline distT="0" distB="0" distL="0" distR="0" wp14:anchorId="7D2F9D39" wp14:editId="26AFA1A0">
                <wp:extent cx="1210214" cy="704850"/>
                <wp:effectExtent l="0" t="0" r="9525" b="0"/>
                <wp:docPr id="34" name="Resim 34" descr="C:\Users\Public\logo - imza - siluet\KTO LOGO\logo arkası bey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logo - imza - siluet\KTO LOGO\logo arkası beya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214" cy="704850"/>
                        </a:xfrm>
                        <a:prstGeom prst="rect">
                          <a:avLst/>
                        </a:prstGeom>
                        <a:noFill/>
                        <a:ln>
                          <a:noFill/>
                        </a:ln>
                      </pic:spPr>
                    </pic:pic>
                  </a:graphicData>
                </a:graphic>
              </wp:inline>
            </w:drawing>
          </w:r>
        </w:p>
      </w:tc>
      <w:tc>
        <w:tcPr>
          <w:tcW w:w="3921" w:type="pct"/>
          <w:shd w:val="clear" w:color="auto" w:fill="365F91" w:themeFill="accent1" w:themeFillShade="BF"/>
          <w:vAlign w:val="center"/>
        </w:tcPr>
        <w:p w:rsidR="004712D1" w:rsidRDefault="00FE7738" w:rsidP="00105CC3">
          <w:pPr>
            <w:pStyle w:val="stbilgi"/>
            <w:ind w:firstLine="34"/>
            <w:jc w:val="center"/>
            <w:rPr>
              <w:rFonts w:cstheme="minorHAnsi"/>
              <w:b/>
              <w:color w:val="FFFFFF" w:themeColor="background1"/>
              <w:sz w:val="36"/>
              <w:szCs w:val="32"/>
            </w:rPr>
          </w:pPr>
          <w:r>
            <w:rPr>
              <w:rFonts w:cstheme="minorHAnsi"/>
              <w:b/>
              <w:color w:val="FFFFFF" w:themeColor="background1"/>
              <w:sz w:val="36"/>
              <w:szCs w:val="32"/>
            </w:rPr>
            <w:t>TÜRKİYE-İRAN TERCİHLİ TİCARET ANLAŞMASI</w:t>
          </w:r>
          <w:r w:rsidR="00103B20">
            <w:rPr>
              <w:rFonts w:cstheme="minorHAnsi"/>
              <w:b/>
              <w:color w:val="FFFFFF" w:themeColor="background1"/>
              <w:sz w:val="36"/>
              <w:szCs w:val="32"/>
            </w:rPr>
            <w:t xml:space="preserve"> ve TÜRKİYE-İRAN TİCARİ İLİŞKİLERİ</w:t>
          </w:r>
        </w:p>
        <w:p w:rsidR="00AC7395" w:rsidRPr="00B07622" w:rsidRDefault="00AC7395" w:rsidP="00105CC3">
          <w:pPr>
            <w:pStyle w:val="stbilgi"/>
            <w:ind w:firstLine="34"/>
            <w:jc w:val="center"/>
            <w:rPr>
              <w:rFonts w:cstheme="minorHAnsi"/>
              <w:b/>
              <w:color w:val="FFFFFF" w:themeColor="background1"/>
              <w:sz w:val="32"/>
              <w:szCs w:val="32"/>
            </w:rPr>
          </w:pPr>
          <w:r>
            <w:rPr>
              <w:rFonts w:cstheme="minorHAnsi"/>
              <w:b/>
              <w:color w:val="FFFFFF" w:themeColor="background1"/>
              <w:sz w:val="32"/>
              <w:szCs w:val="32"/>
            </w:rPr>
            <w:t>Mehmet ÖZÇELİK</w:t>
          </w:r>
        </w:p>
      </w:tc>
    </w:tr>
  </w:tbl>
  <w:p w:rsidR="00AC7395" w:rsidRDefault="00AC739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596"/>
    <w:multiLevelType w:val="hybridMultilevel"/>
    <w:tmpl w:val="EEA619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8530D6A"/>
    <w:multiLevelType w:val="hybridMultilevel"/>
    <w:tmpl w:val="1B1691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2960E16"/>
    <w:multiLevelType w:val="hybridMultilevel"/>
    <w:tmpl w:val="2C762D5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4B42380"/>
    <w:multiLevelType w:val="hybridMultilevel"/>
    <w:tmpl w:val="1E284B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264310C"/>
    <w:multiLevelType w:val="hybridMultilevel"/>
    <w:tmpl w:val="C2F828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C17"/>
    <w:rsid w:val="0000003B"/>
    <w:rsid w:val="00002B8C"/>
    <w:rsid w:val="000067FC"/>
    <w:rsid w:val="0000739B"/>
    <w:rsid w:val="00012015"/>
    <w:rsid w:val="00014793"/>
    <w:rsid w:val="000179F6"/>
    <w:rsid w:val="000217F9"/>
    <w:rsid w:val="0002202D"/>
    <w:rsid w:val="00024B66"/>
    <w:rsid w:val="00026D92"/>
    <w:rsid w:val="000273BD"/>
    <w:rsid w:val="00030B82"/>
    <w:rsid w:val="00032F91"/>
    <w:rsid w:val="000333A4"/>
    <w:rsid w:val="000333E0"/>
    <w:rsid w:val="00037AE1"/>
    <w:rsid w:val="0004185E"/>
    <w:rsid w:val="00044F0D"/>
    <w:rsid w:val="00046F79"/>
    <w:rsid w:val="00050733"/>
    <w:rsid w:val="00050F61"/>
    <w:rsid w:val="00052FF4"/>
    <w:rsid w:val="00056B4F"/>
    <w:rsid w:val="00061B9A"/>
    <w:rsid w:val="00064261"/>
    <w:rsid w:val="00070ED5"/>
    <w:rsid w:val="00071D87"/>
    <w:rsid w:val="00072C67"/>
    <w:rsid w:val="00073D60"/>
    <w:rsid w:val="00075073"/>
    <w:rsid w:val="0007556B"/>
    <w:rsid w:val="00077B95"/>
    <w:rsid w:val="0008131A"/>
    <w:rsid w:val="00081BE7"/>
    <w:rsid w:val="0008708E"/>
    <w:rsid w:val="00087A3A"/>
    <w:rsid w:val="00096184"/>
    <w:rsid w:val="00097972"/>
    <w:rsid w:val="000A04CB"/>
    <w:rsid w:val="000A07AD"/>
    <w:rsid w:val="000A1FA9"/>
    <w:rsid w:val="000A3136"/>
    <w:rsid w:val="000A4F7C"/>
    <w:rsid w:val="000A527A"/>
    <w:rsid w:val="000A5AA4"/>
    <w:rsid w:val="000B006B"/>
    <w:rsid w:val="000B5593"/>
    <w:rsid w:val="000D1BCF"/>
    <w:rsid w:val="000D7191"/>
    <w:rsid w:val="000D7225"/>
    <w:rsid w:val="000E0F5B"/>
    <w:rsid w:val="000F2C53"/>
    <w:rsid w:val="000F5FA6"/>
    <w:rsid w:val="000F6F0C"/>
    <w:rsid w:val="00103834"/>
    <w:rsid w:val="00103B20"/>
    <w:rsid w:val="0010555F"/>
    <w:rsid w:val="00105CC3"/>
    <w:rsid w:val="00110A5C"/>
    <w:rsid w:val="00121337"/>
    <w:rsid w:val="0012646D"/>
    <w:rsid w:val="00130C85"/>
    <w:rsid w:val="00135874"/>
    <w:rsid w:val="0013660D"/>
    <w:rsid w:val="001367E7"/>
    <w:rsid w:val="00141EA1"/>
    <w:rsid w:val="001432EA"/>
    <w:rsid w:val="00143329"/>
    <w:rsid w:val="001435F2"/>
    <w:rsid w:val="00146776"/>
    <w:rsid w:val="00147F09"/>
    <w:rsid w:val="00150B4B"/>
    <w:rsid w:val="00153596"/>
    <w:rsid w:val="00153A8F"/>
    <w:rsid w:val="00154982"/>
    <w:rsid w:val="00164384"/>
    <w:rsid w:val="00165ED2"/>
    <w:rsid w:val="001668B0"/>
    <w:rsid w:val="0017205D"/>
    <w:rsid w:val="00173604"/>
    <w:rsid w:val="00177FF7"/>
    <w:rsid w:val="001800F6"/>
    <w:rsid w:val="00185687"/>
    <w:rsid w:val="001904FF"/>
    <w:rsid w:val="001909CC"/>
    <w:rsid w:val="00191DAA"/>
    <w:rsid w:val="00195EDB"/>
    <w:rsid w:val="00196371"/>
    <w:rsid w:val="001A27F4"/>
    <w:rsid w:val="001A43DE"/>
    <w:rsid w:val="001A77EF"/>
    <w:rsid w:val="001B385B"/>
    <w:rsid w:val="001B54C7"/>
    <w:rsid w:val="001B55D8"/>
    <w:rsid w:val="001D060B"/>
    <w:rsid w:val="001D2A30"/>
    <w:rsid w:val="001D34DB"/>
    <w:rsid w:val="001D67DC"/>
    <w:rsid w:val="001D797C"/>
    <w:rsid w:val="001E0A2D"/>
    <w:rsid w:val="001E0FDE"/>
    <w:rsid w:val="001E1C02"/>
    <w:rsid w:val="001E3D7D"/>
    <w:rsid w:val="001E488E"/>
    <w:rsid w:val="001E6D68"/>
    <w:rsid w:val="001E7B0F"/>
    <w:rsid w:val="001F234B"/>
    <w:rsid w:val="001F36BC"/>
    <w:rsid w:val="001F6E56"/>
    <w:rsid w:val="00204B19"/>
    <w:rsid w:val="00205960"/>
    <w:rsid w:val="00211BC6"/>
    <w:rsid w:val="00213AE9"/>
    <w:rsid w:val="00217D88"/>
    <w:rsid w:val="00220006"/>
    <w:rsid w:val="002241A9"/>
    <w:rsid w:val="00232E47"/>
    <w:rsid w:val="002345F7"/>
    <w:rsid w:val="00235F9B"/>
    <w:rsid w:val="00240860"/>
    <w:rsid w:val="00245C95"/>
    <w:rsid w:val="00247FCB"/>
    <w:rsid w:val="00251AEA"/>
    <w:rsid w:val="00252A6F"/>
    <w:rsid w:val="00257BA5"/>
    <w:rsid w:val="0026522F"/>
    <w:rsid w:val="00274D28"/>
    <w:rsid w:val="00282255"/>
    <w:rsid w:val="002836D3"/>
    <w:rsid w:val="00293E3C"/>
    <w:rsid w:val="00294A97"/>
    <w:rsid w:val="00295896"/>
    <w:rsid w:val="002A0E91"/>
    <w:rsid w:val="002A2994"/>
    <w:rsid w:val="002A32EA"/>
    <w:rsid w:val="002A3A02"/>
    <w:rsid w:val="002A44DB"/>
    <w:rsid w:val="002A4A69"/>
    <w:rsid w:val="002A5A4B"/>
    <w:rsid w:val="002A5C9F"/>
    <w:rsid w:val="002B09ED"/>
    <w:rsid w:val="002B64F7"/>
    <w:rsid w:val="002B6766"/>
    <w:rsid w:val="002C6EB7"/>
    <w:rsid w:val="002C7C6A"/>
    <w:rsid w:val="002D18B6"/>
    <w:rsid w:val="002E0820"/>
    <w:rsid w:val="002E12B3"/>
    <w:rsid w:val="002E18D2"/>
    <w:rsid w:val="002E31E4"/>
    <w:rsid w:val="002E6F70"/>
    <w:rsid w:val="002F1314"/>
    <w:rsid w:val="00300C5A"/>
    <w:rsid w:val="00301135"/>
    <w:rsid w:val="003043CF"/>
    <w:rsid w:val="003063D3"/>
    <w:rsid w:val="003070EF"/>
    <w:rsid w:val="003117EA"/>
    <w:rsid w:val="00312C6A"/>
    <w:rsid w:val="00313562"/>
    <w:rsid w:val="00315F67"/>
    <w:rsid w:val="0031780E"/>
    <w:rsid w:val="0033330D"/>
    <w:rsid w:val="00337D76"/>
    <w:rsid w:val="003405CE"/>
    <w:rsid w:val="00342B4D"/>
    <w:rsid w:val="00350F4D"/>
    <w:rsid w:val="00355740"/>
    <w:rsid w:val="00362CE7"/>
    <w:rsid w:val="00366F95"/>
    <w:rsid w:val="00371758"/>
    <w:rsid w:val="00371E88"/>
    <w:rsid w:val="003745B1"/>
    <w:rsid w:val="00375442"/>
    <w:rsid w:val="0037622C"/>
    <w:rsid w:val="00376C04"/>
    <w:rsid w:val="003858F3"/>
    <w:rsid w:val="00386087"/>
    <w:rsid w:val="003901CA"/>
    <w:rsid w:val="003907DE"/>
    <w:rsid w:val="00391ECB"/>
    <w:rsid w:val="00392675"/>
    <w:rsid w:val="00393638"/>
    <w:rsid w:val="0039596A"/>
    <w:rsid w:val="0039713C"/>
    <w:rsid w:val="003A2AB6"/>
    <w:rsid w:val="003B278C"/>
    <w:rsid w:val="003B4227"/>
    <w:rsid w:val="003C1540"/>
    <w:rsid w:val="003D1705"/>
    <w:rsid w:val="003D6CA5"/>
    <w:rsid w:val="003F2DA2"/>
    <w:rsid w:val="003F4FB8"/>
    <w:rsid w:val="003F51AF"/>
    <w:rsid w:val="003F5AAC"/>
    <w:rsid w:val="0040620D"/>
    <w:rsid w:val="00406BF9"/>
    <w:rsid w:val="00407AE7"/>
    <w:rsid w:val="00410251"/>
    <w:rsid w:val="00410BD2"/>
    <w:rsid w:val="0041339D"/>
    <w:rsid w:val="004177D6"/>
    <w:rsid w:val="004241F1"/>
    <w:rsid w:val="00426E0F"/>
    <w:rsid w:val="004345FA"/>
    <w:rsid w:val="00434BF9"/>
    <w:rsid w:val="00435107"/>
    <w:rsid w:val="00441741"/>
    <w:rsid w:val="0044485F"/>
    <w:rsid w:val="00446AB6"/>
    <w:rsid w:val="00451272"/>
    <w:rsid w:val="00451BE5"/>
    <w:rsid w:val="004560B2"/>
    <w:rsid w:val="00457277"/>
    <w:rsid w:val="00460345"/>
    <w:rsid w:val="00460C3C"/>
    <w:rsid w:val="0046151A"/>
    <w:rsid w:val="00461EBA"/>
    <w:rsid w:val="00465F4A"/>
    <w:rsid w:val="004712D1"/>
    <w:rsid w:val="00475B87"/>
    <w:rsid w:val="00484E55"/>
    <w:rsid w:val="004857E4"/>
    <w:rsid w:val="00486784"/>
    <w:rsid w:val="0048693A"/>
    <w:rsid w:val="004878B8"/>
    <w:rsid w:val="00490598"/>
    <w:rsid w:val="0049399B"/>
    <w:rsid w:val="00494D94"/>
    <w:rsid w:val="004A2FF9"/>
    <w:rsid w:val="004A3300"/>
    <w:rsid w:val="004B18E8"/>
    <w:rsid w:val="004B412F"/>
    <w:rsid w:val="004B5211"/>
    <w:rsid w:val="004B6988"/>
    <w:rsid w:val="004E1905"/>
    <w:rsid w:val="004E2BE6"/>
    <w:rsid w:val="004F1AE1"/>
    <w:rsid w:val="004F22D0"/>
    <w:rsid w:val="004F33F9"/>
    <w:rsid w:val="004F6495"/>
    <w:rsid w:val="004F7F3D"/>
    <w:rsid w:val="00500051"/>
    <w:rsid w:val="00500FEF"/>
    <w:rsid w:val="00504F20"/>
    <w:rsid w:val="00505209"/>
    <w:rsid w:val="0050687C"/>
    <w:rsid w:val="005068DC"/>
    <w:rsid w:val="00510BA0"/>
    <w:rsid w:val="00524E35"/>
    <w:rsid w:val="00527BB8"/>
    <w:rsid w:val="00530979"/>
    <w:rsid w:val="00530BDF"/>
    <w:rsid w:val="00533DBD"/>
    <w:rsid w:val="00546AE9"/>
    <w:rsid w:val="00551685"/>
    <w:rsid w:val="00552159"/>
    <w:rsid w:val="005536F2"/>
    <w:rsid w:val="00554A38"/>
    <w:rsid w:val="005559E8"/>
    <w:rsid w:val="00560073"/>
    <w:rsid w:val="005654F3"/>
    <w:rsid w:val="00565B52"/>
    <w:rsid w:val="005665BD"/>
    <w:rsid w:val="00570321"/>
    <w:rsid w:val="00572C39"/>
    <w:rsid w:val="0057415C"/>
    <w:rsid w:val="0057442A"/>
    <w:rsid w:val="0058097E"/>
    <w:rsid w:val="00583CFA"/>
    <w:rsid w:val="00591DA4"/>
    <w:rsid w:val="00595649"/>
    <w:rsid w:val="005A0631"/>
    <w:rsid w:val="005C0E3F"/>
    <w:rsid w:val="005C47CD"/>
    <w:rsid w:val="005D048B"/>
    <w:rsid w:val="005D29A6"/>
    <w:rsid w:val="005D6B82"/>
    <w:rsid w:val="005E057D"/>
    <w:rsid w:val="005E0D94"/>
    <w:rsid w:val="005E3E8A"/>
    <w:rsid w:val="005E48FE"/>
    <w:rsid w:val="005E650D"/>
    <w:rsid w:val="005E7EB1"/>
    <w:rsid w:val="005F0627"/>
    <w:rsid w:val="005F0E4E"/>
    <w:rsid w:val="005F2726"/>
    <w:rsid w:val="005F2DAF"/>
    <w:rsid w:val="005F7015"/>
    <w:rsid w:val="005F7AB4"/>
    <w:rsid w:val="006061B8"/>
    <w:rsid w:val="00607AED"/>
    <w:rsid w:val="0061061E"/>
    <w:rsid w:val="00616D8A"/>
    <w:rsid w:val="00622105"/>
    <w:rsid w:val="00624AFC"/>
    <w:rsid w:val="00627555"/>
    <w:rsid w:val="00632B2F"/>
    <w:rsid w:val="00633217"/>
    <w:rsid w:val="0063390C"/>
    <w:rsid w:val="00635F5E"/>
    <w:rsid w:val="006369B7"/>
    <w:rsid w:val="006413D2"/>
    <w:rsid w:val="00644EFE"/>
    <w:rsid w:val="006459A2"/>
    <w:rsid w:val="00647D6C"/>
    <w:rsid w:val="00650A47"/>
    <w:rsid w:val="00650BC9"/>
    <w:rsid w:val="0065527C"/>
    <w:rsid w:val="00655A45"/>
    <w:rsid w:val="00660A78"/>
    <w:rsid w:val="00664622"/>
    <w:rsid w:val="00664A36"/>
    <w:rsid w:val="00665486"/>
    <w:rsid w:val="00665A1C"/>
    <w:rsid w:val="00665B96"/>
    <w:rsid w:val="00665BE8"/>
    <w:rsid w:val="00665F42"/>
    <w:rsid w:val="00671594"/>
    <w:rsid w:val="006717B1"/>
    <w:rsid w:val="006720C4"/>
    <w:rsid w:val="0067251C"/>
    <w:rsid w:val="00674B90"/>
    <w:rsid w:val="00681542"/>
    <w:rsid w:val="00683131"/>
    <w:rsid w:val="00694505"/>
    <w:rsid w:val="00695EB7"/>
    <w:rsid w:val="0069720E"/>
    <w:rsid w:val="006A0464"/>
    <w:rsid w:val="006A1BAD"/>
    <w:rsid w:val="006A73D2"/>
    <w:rsid w:val="006B0EAE"/>
    <w:rsid w:val="006B1632"/>
    <w:rsid w:val="006B5640"/>
    <w:rsid w:val="006C1B65"/>
    <w:rsid w:val="006C5B84"/>
    <w:rsid w:val="006C6671"/>
    <w:rsid w:val="006D473A"/>
    <w:rsid w:val="006D4DA4"/>
    <w:rsid w:val="006E120A"/>
    <w:rsid w:val="006E1221"/>
    <w:rsid w:val="006E544D"/>
    <w:rsid w:val="006E582D"/>
    <w:rsid w:val="006E787B"/>
    <w:rsid w:val="006F586B"/>
    <w:rsid w:val="00700969"/>
    <w:rsid w:val="00704053"/>
    <w:rsid w:val="007054D0"/>
    <w:rsid w:val="00706AEB"/>
    <w:rsid w:val="00706BDB"/>
    <w:rsid w:val="007102EE"/>
    <w:rsid w:val="007117BB"/>
    <w:rsid w:val="00714D51"/>
    <w:rsid w:val="00715D87"/>
    <w:rsid w:val="00723BA4"/>
    <w:rsid w:val="007268F0"/>
    <w:rsid w:val="00730C26"/>
    <w:rsid w:val="00731AEF"/>
    <w:rsid w:val="00733A34"/>
    <w:rsid w:val="007358A3"/>
    <w:rsid w:val="007362F1"/>
    <w:rsid w:val="0074001D"/>
    <w:rsid w:val="007509C4"/>
    <w:rsid w:val="00754E12"/>
    <w:rsid w:val="0075620F"/>
    <w:rsid w:val="007566D8"/>
    <w:rsid w:val="0075708A"/>
    <w:rsid w:val="0076176F"/>
    <w:rsid w:val="00764F66"/>
    <w:rsid w:val="00765795"/>
    <w:rsid w:val="0076786E"/>
    <w:rsid w:val="00770430"/>
    <w:rsid w:val="00770618"/>
    <w:rsid w:val="0077318D"/>
    <w:rsid w:val="00775C5C"/>
    <w:rsid w:val="00775E50"/>
    <w:rsid w:val="00775E7B"/>
    <w:rsid w:val="0078546E"/>
    <w:rsid w:val="0078560E"/>
    <w:rsid w:val="00785EA1"/>
    <w:rsid w:val="00791053"/>
    <w:rsid w:val="00791BAD"/>
    <w:rsid w:val="00793E43"/>
    <w:rsid w:val="00796774"/>
    <w:rsid w:val="007972D8"/>
    <w:rsid w:val="007A41EE"/>
    <w:rsid w:val="007A4D2B"/>
    <w:rsid w:val="007A4DD8"/>
    <w:rsid w:val="007A5553"/>
    <w:rsid w:val="007B4579"/>
    <w:rsid w:val="007B718F"/>
    <w:rsid w:val="007C69CE"/>
    <w:rsid w:val="007C7AE2"/>
    <w:rsid w:val="007D3831"/>
    <w:rsid w:val="007D5AB3"/>
    <w:rsid w:val="007D6FDC"/>
    <w:rsid w:val="007E6CB4"/>
    <w:rsid w:val="007F3B8B"/>
    <w:rsid w:val="008017A1"/>
    <w:rsid w:val="00803086"/>
    <w:rsid w:val="008035FB"/>
    <w:rsid w:val="008047AD"/>
    <w:rsid w:val="00804DC5"/>
    <w:rsid w:val="00813C08"/>
    <w:rsid w:val="008246EB"/>
    <w:rsid w:val="0082550D"/>
    <w:rsid w:val="00835B7D"/>
    <w:rsid w:val="00843039"/>
    <w:rsid w:val="008450DB"/>
    <w:rsid w:val="00860683"/>
    <w:rsid w:val="00866322"/>
    <w:rsid w:val="008669BF"/>
    <w:rsid w:val="00870381"/>
    <w:rsid w:val="00871C01"/>
    <w:rsid w:val="00877126"/>
    <w:rsid w:val="00880119"/>
    <w:rsid w:val="00882B50"/>
    <w:rsid w:val="008846DD"/>
    <w:rsid w:val="00885AE2"/>
    <w:rsid w:val="00890FE2"/>
    <w:rsid w:val="0089160B"/>
    <w:rsid w:val="00897DA6"/>
    <w:rsid w:val="008B54D1"/>
    <w:rsid w:val="008B6D2F"/>
    <w:rsid w:val="008C22AE"/>
    <w:rsid w:val="008C2A30"/>
    <w:rsid w:val="008C4651"/>
    <w:rsid w:val="008C78B3"/>
    <w:rsid w:val="008D3F57"/>
    <w:rsid w:val="008D76EA"/>
    <w:rsid w:val="008D7C25"/>
    <w:rsid w:val="008E5052"/>
    <w:rsid w:val="008F23FA"/>
    <w:rsid w:val="008F3766"/>
    <w:rsid w:val="009053ED"/>
    <w:rsid w:val="00914327"/>
    <w:rsid w:val="00916D0F"/>
    <w:rsid w:val="009172E1"/>
    <w:rsid w:val="00921DE2"/>
    <w:rsid w:val="009320A7"/>
    <w:rsid w:val="00934718"/>
    <w:rsid w:val="009349BC"/>
    <w:rsid w:val="00934A6B"/>
    <w:rsid w:val="00935C81"/>
    <w:rsid w:val="00935E08"/>
    <w:rsid w:val="009406EE"/>
    <w:rsid w:val="00944194"/>
    <w:rsid w:val="00945816"/>
    <w:rsid w:val="00945EA0"/>
    <w:rsid w:val="00946FE4"/>
    <w:rsid w:val="00953CA6"/>
    <w:rsid w:val="009600C2"/>
    <w:rsid w:val="009628C8"/>
    <w:rsid w:val="009649E9"/>
    <w:rsid w:val="0096515C"/>
    <w:rsid w:val="00965A45"/>
    <w:rsid w:val="009728A6"/>
    <w:rsid w:val="00974F63"/>
    <w:rsid w:val="0097500A"/>
    <w:rsid w:val="00975B20"/>
    <w:rsid w:val="00975C95"/>
    <w:rsid w:val="009761EA"/>
    <w:rsid w:val="0098016A"/>
    <w:rsid w:val="00981502"/>
    <w:rsid w:val="009907E5"/>
    <w:rsid w:val="009907F9"/>
    <w:rsid w:val="00993C46"/>
    <w:rsid w:val="00993DFB"/>
    <w:rsid w:val="009A0880"/>
    <w:rsid w:val="009A2976"/>
    <w:rsid w:val="009B00DD"/>
    <w:rsid w:val="009B1D91"/>
    <w:rsid w:val="009B4126"/>
    <w:rsid w:val="009B4FB5"/>
    <w:rsid w:val="009B5A1D"/>
    <w:rsid w:val="009B727E"/>
    <w:rsid w:val="009C2661"/>
    <w:rsid w:val="009C5974"/>
    <w:rsid w:val="009C6058"/>
    <w:rsid w:val="009C7F02"/>
    <w:rsid w:val="009D5C8D"/>
    <w:rsid w:val="009D6C9A"/>
    <w:rsid w:val="009D7D41"/>
    <w:rsid w:val="009F159B"/>
    <w:rsid w:val="009F4996"/>
    <w:rsid w:val="00A00864"/>
    <w:rsid w:val="00A00E88"/>
    <w:rsid w:val="00A067C9"/>
    <w:rsid w:val="00A07129"/>
    <w:rsid w:val="00A119E3"/>
    <w:rsid w:val="00A207C9"/>
    <w:rsid w:val="00A23244"/>
    <w:rsid w:val="00A254FB"/>
    <w:rsid w:val="00A30451"/>
    <w:rsid w:val="00A44901"/>
    <w:rsid w:val="00A449AD"/>
    <w:rsid w:val="00A46A3E"/>
    <w:rsid w:val="00A73297"/>
    <w:rsid w:val="00A74545"/>
    <w:rsid w:val="00A768F4"/>
    <w:rsid w:val="00A80064"/>
    <w:rsid w:val="00A8432C"/>
    <w:rsid w:val="00A8560F"/>
    <w:rsid w:val="00A8596D"/>
    <w:rsid w:val="00A960CD"/>
    <w:rsid w:val="00A97A5E"/>
    <w:rsid w:val="00AA44C6"/>
    <w:rsid w:val="00AA7171"/>
    <w:rsid w:val="00AB4112"/>
    <w:rsid w:val="00AB5559"/>
    <w:rsid w:val="00AC129E"/>
    <w:rsid w:val="00AC1C70"/>
    <w:rsid w:val="00AC2E65"/>
    <w:rsid w:val="00AC7395"/>
    <w:rsid w:val="00AD2C26"/>
    <w:rsid w:val="00AE623C"/>
    <w:rsid w:val="00AF2955"/>
    <w:rsid w:val="00AF4195"/>
    <w:rsid w:val="00AF5CF4"/>
    <w:rsid w:val="00B02E3D"/>
    <w:rsid w:val="00B10E08"/>
    <w:rsid w:val="00B11235"/>
    <w:rsid w:val="00B12910"/>
    <w:rsid w:val="00B137A4"/>
    <w:rsid w:val="00B15711"/>
    <w:rsid w:val="00B2226F"/>
    <w:rsid w:val="00B22731"/>
    <w:rsid w:val="00B3504B"/>
    <w:rsid w:val="00B363FF"/>
    <w:rsid w:val="00B36DF7"/>
    <w:rsid w:val="00B40317"/>
    <w:rsid w:val="00B43725"/>
    <w:rsid w:val="00B511B3"/>
    <w:rsid w:val="00B51A77"/>
    <w:rsid w:val="00B602AC"/>
    <w:rsid w:val="00B603EC"/>
    <w:rsid w:val="00B62481"/>
    <w:rsid w:val="00B6429F"/>
    <w:rsid w:val="00B72761"/>
    <w:rsid w:val="00B74289"/>
    <w:rsid w:val="00B81BBE"/>
    <w:rsid w:val="00B8204C"/>
    <w:rsid w:val="00B82927"/>
    <w:rsid w:val="00B83D11"/>
    <w:rsid w:val="00B8406B"/>
    <w:rsid w:val="00B84BEB"/>
    <w:rsid w:val="00B86CD5"/>
    <w:rsid w:val="00B86D7C"/>
    <w:rsid w:val="00B9489F"/>
    <w:rsid w:val="00BA4803"/>
    <w:rsid w:val="00BB0263"/>
    <w:rsid w:val="00BB0C07"/>
    <w:rsid w:val="00BB5361"/>
    <w:rsid w:val="00BB6612"/>
    <w:rsid w:val="00BC2EB4"/>
    <w:rsid w:val="00BC3FE9"/>
    <w:rsid w:val="00BC441D"/>
    <w:rsid w:val="00BC5C5F"/>
    <w:rsid w:val="00BC5F6E"/>
    <w:rsid w:val="00BC788A"/>
    <w:rsid w:val="00BD4752"/>
    <w:rsid w:val="00BE02ED"/>
    <w:rsid w:val="00BE0A49"/>
    <w:rsid w:val="00BE24DB"/>
    <w:rsid w:val="00BE6699"/>
    <w:rsid w:val="00BE6D34"/>
    <w:rsid w:val="00BF08BD"/>
    <w:rsid w:val="00BF29FC"/>
    <w:rsid w:val="00BF7154"/>
    <w:rsid w:val="00BF769E"/>
    <w:rsid w:val="00C00C5C"/>
    <w:rsid w:val="00C03FD5"/>
    <w:rsid w:val="00C045A5"/>
    <w:rsid w:val="00C045E1"/>
    <w:rsid w:val="00C0478A"/>
    <w:rsid w:val="00C05C4C"/>
    <w:rsid w:val="00C12776"/>
    <w:rsid w:val="00C12928"/>
    <w:rsid w:val="00C13868"/>
    <w:rsid w:val="00C14389"/>
    <w:rsid w:val="00C15D55"/>
    <w:rsid w:val="00C16D0D"/>
    <w:rsid w:val="00C30E6A"/>
    <w:rsid w:val="00C32C7C"/>
    <w:rsid w:val="00C41059"/>
    <w:rsid w:val="00C42A0F"/>
    <w:rsid w:val="00C43DF6"/>
    <w:rsid w:val="00C43DF7"/>
    <w:rsid w:val="00C45C32"/>
    <w:rsid w:val="00C46754"/>
    <w:rsid w:val="00C5308B"/>
    <w:rsid w:val="00C54775"/>
    <w:rsid w:val="00C54F06"/>
    <w:rsid w:val="00C57007"/>
    <w:rsid w:val="00C5757B"/>
    <w:rsid w:val="00C60A3B"/>
    <w:rsid w:val="00C610FD"/>
    <w:rsid w:val="00C62C89"/>
    <w:rsid w:val="00C709B8"/>
    <w:rsid w:val="00C71AB3"/>
    <w:rsid w:val="00C73468"/>
    <w:rsid w:val="00C764C3"/>
    <w:rsid w:val="00C77088"/>
    <w:rsid w:val="00C83B83"/>
    <w:rsid w:val="00C87BD0"/>
    <w:rsid w:val="00C9682C"/>
    <w:rsid w:val="00CA0D37"/>
    <w:rsid w:val="00CA5A42"/>
    <w:rsid w:val="00CA5E1E"/>
    <w:rsid w:val="00CB3ABF"/>
    <w:rsid w:val="00CB57FC"/>
    <w:rsid w:val="00CB63F9"/>
    <w:rsid w:val="00CC2868"/>
    <w:rsid w:val="00CC2D75"/>
    <w:rsid w:val="00CC47F2"/>
    <w:rsid w:val="00CC6180"/>
    <w:rsid w:val="00CC64B0"/>
    <w:rsid w:val="00CD2109"/>
    <w:rsid w:val="00CD334A"/>
    <w:rsid w:val="00CD7893"/>
    <w:rsid w:val="00CE25CC"/>
    <w:rsid w:val="00CE7AB1"/>
    <w:rsid w:val="00CE7F5E"/>
    <w:rsid w:val="00CF1066"/>
    <w:rsid w:val="00CF3C4F"/>
    <w:rsid w:val="00CF66B4"/>
    <w:rsid w:val="00D00443"/>
    <w:rsid w:val="00D00F65"/>
    <w:rsid w:val="00D022B3"/>
    <w:rsid w:val="00D056B1"/>
    <w:rsid w:val="00D13F5D"/>
    <w:rsid w:val="00D2424F"/>
    <w:rsid w:val="00D33658"/>
    <w:rsid w:val="00D36EC9"/>
    <w:rsid w:val="00D41E31"/>
    <w:rsid w:val="00D45BBF"/>
    <w:rsid w:val="00D45E2D"/>
    <w:rsid w:val="00D4606F"/>
    <w:rsid w:val="00D4740E"/>
    <w:rsid w:val="00D533A6"/>
    <w:rsid w:val="00D544EE"/>
    <w:rsid w:val="00D56745"/>
    <w:rsid w:val="00D57130"/>
    <w:rsid w:val="00D6086A"/>
    <w:rsid w:val="00D60970"/>
    <w:rsid w:val="00D72AA6"/>
    <w:rsid w:val="00D75F6C"/>
    <w:rsid w:val="00D84509"/>
    <w:rsid w:val="00D87304"/>
    <w:rsid w:val="00D90289"/>
    <w:rsid w:val="00D90EDF"/>
    <w:rsid w:val="00D93477"/>
    <w:rsid w:val="00D938CB"/>
    <w:rsid w:val="00DA4CCF"/>
    <w:rsid w:val="00DB033A"/>
    <w:rsid w:val="00DB1A32"/>
    <w:rsid w:val="00DB28AE"/>
    <w:rsid w:val="00DB2D3D"/>
    <w:rsid w:val="00DB3BE4"/>
    <w:rsid w:val="00DB43CC"/>
    <w:rsid w:val="00DB5A5D"/>
    <w:rsid w:val="00DB6957"/>
    <w:rsid w:val="00DB7085"/>
    <w:rsid w:val="00DB7F90"/>
    <w:rsid w:val="00DC3490"/>
    <w:rsid w:val="00DC3D0B"/>
    <w:rsid w:val="00DC4D25"/>
    <w:rsid w:val="00DC71CD"/>
    <w:rsid w:val="00DC7F5F"/>
    <w:rsid w:val="00DD1CAF"/>
    <w:rsid w:val="00DE14B2"/>
    <w:rsid w:val="00DE2EC6"/>
    <w:rsid w:val="00DE3B88"/>
    <w:rsid w:val="00DF078E"/>
    <w:rsid w:val="00E1341D"/>
    <w:rsid w:val="00E144AD"/>
    <w:rsid w:val="00E150BD"/>
    <w:rsid w:val="00E253ED"/>
    <w:rsid w:val="00E27A4D"/>
    <w:rsid w:val="00E32398"/>
    <w:rsid w:val="00E4354B"/>
    <w:rsid w:val="00E46048"/>
    <w:rsid w:val="00E55629"/>
    <w:rsid w:val="00E56171"/>
    <w:rsid w:val="00E61CAF"/>
    <w:rsid w:val="00E638B9"/>
    <w:rsid w:val="00E7064E"/>
    <w:rsid w:val="00E715E9"/>
    <w:rsid w:val="00E73078"/>
    <w:rsid w:val="00E81A47"/>
    <w:rsid w:val="00E831C7"/>
    <w:rsid w:val="00E85CF2"/>
    <w:rsid w:val="00EA029E"/>
    <w:rsid w:val="00EA2079"/>
    <w:rsid w:val="00EA3EF5"/>
    <w:rsid w:val="00EA487D"/>
    <w:rsid w:val="00EA565C"/>
    <w:rsid w:val="00EB0463"/>
    <w:rsid w:val="00EB56A7"/>
    <w:rsid w:val="00EB7B60"/>
    <w:rsid w:val="00EC1F52"/>
    <w:rsid w:val="00EC5199"/>
    <w:rsid w:val="00ED0A39"/>
    <w:rsid w:val="00ED0C99"/>
    <w:rsid w:val="00ED1F46"/>
    <w:rsid w:val="00ED1F89"/>
    <w:rsid w:val="00ED3A3E"/>
    <w:rsid w:val="00ED7ED6"/>
    <w:rsid w:val="00EE31EF"/>
    <w:rsid w:val="00EE40BD"/>
    <w:rsid w:val="00EF55BA"/>
    <w:rsid w:val="00EF6F42"/>
    <w:rsid w:val="00F0225D"/>
    <w:rsid w:val="00F0531D"/>
    <w:rsid w:val="00F067D0"/>
    <w:rsid w:val="00F117AE"/>
    <w:rsid w:val="00F11F22"/>
    <w:rsid w:val="00F12512"/>
    <w:rsid w:val="00F131DD"/>
    <w:rsid w:val="00F16085"/>
    <w:rsid w:val="00F16287"/>
    <w:rsid w:val="00F177A8"/>
    <w:rsid w:val="00F20273"/>
    <w:rsid w:val="00F21C5C"/>
    <w:rsid w:val="00F24000"/>
    <w:rsid w:val="00F37507"/>
    <w:rsid w:val="00F37E93"/>
    <w:rsid w:val="00F40A13"/>
    <w:rsid w:val="00F43317"/>
    <w:rsid w:val="00F45C17"/>
    <w:rsid w:val="00F5396A"/>
    <w:rsid w:val="00F62C69"/>
    <w:rsid w:val="00F63C5B"/>
    <w:rsid w:val="00F64267"/>
    <w:rsid w:val="00F6479C"/>
    <w:rsid w:val="00F65070"/>
    <w:rsid w:val="00F85C6B"/>
    <w:rsid w:val="00F9187B"/>
    <w:rsid w:val="00F954E6"/>
    <w:rsid w:val="00FA00F8"/>
    <w:rsid w:val="00FA17F2"/>
    <w:rsid w:val="00FA3FD5"/>
    <w:rsid w:val="00FA582F"/>
    <w:rsid w:val="00FB726A"/>
    <w:rsid w:val="00FC1005"/>
    <w:rsid w:val="00FC3699"/>
    <w:rsid w:val="00FC3D13"/>
    <w:rsid w:val="00FC673F"/>
    <w:rsid w:val="00FD1554"/>
    <w:rsid w:val="00FD2096"/>
    <w:rsid w:val="00FD7744"/>
    <w:rsid w:val="00FD780B"/>
    <w:rsid w:val="00FE1492"/>
    <w:rsid w:val="00FE33A2"/>
    <w:rsid w:val="00FE4240"/>
    <w:rsid w:val="00FE7738"/>
    <w:rsid w:val="00FF5E77"/>
    <w:rsid w:val="00FF6180"/>
    <w:rsid w:val="00FF64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9A"/>
  </w:style>
  <w:style w:type="paragraph" w:styleId="Balk2">
    <w:name w:val="heading 2"/>
    <w:basedOn w:val="Normal"/>
    <w:link w:val="Balk2Char"/>
    <w:uiPriority w:val="9"/>
    <w:qFormat/>
    <w:rsid w:val="00921DE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3F51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21DE2"/>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921D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1DE2"/>
    <w:rPr>
      <w:rFonts w:ascii="Tahoma" w:hAnsi="Tahoma" w:cs="Tahoma"/>
      <w:sz w:val="16"/>
      <w:szCs w:val="16"/>
    </w:rPr>
  </w:style>
  <w:style w:type="table" w:styleId="TabloKlavuzu">
    <w:name w:val="Table Grid"/>
    <w:basedOn w:val="NormalTablo"/>
    <w:uiPriority w:val="59"/>
    <w:rsid w:val="0092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1">
    <w:name w:val="Light Shading Accent 1"/>
    <w:basedOn w:val="NormalTablo"/>
    <w:uiPriority w:val="60"/>
    <w:rsid w:val="00D45E2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Kpr">
    <w:name w:val="Hyperlink"/>
    <w:basedOn w:val="VarsaylanParagrafYazTipi"/>
    <w:uiPriority w:val="99"/>
    <w:unhideWhenUsed/>
    <w:rsid w:val="00EE31EF"/>
    <w:rPr>
      <w:color w:val="0000FF"/>
      <w:u w:val="single"/>
    </w:rPr>
  </w:style>
  <w:style w:type="character" w:customStyle="1" w:styleId="Balk3Char">
    <w:name w:val="Başlık 3 Char"/>
    <w:basedOn w:val="VarsaylanParagrafYazTipi"/>
    <w:link w:val="Balk3"/>
    <w:uiPriority w:val="9"/>
    <w:semiHidden/>
    <w:rsid w:val="003F51AF"/>
    <w:rPr>
      <w:rFonts w:asciiTheme="majorHAnsi" w:eastAsiaTheme="majorEastAsia" w:hAnsiTheme="majorHAnsi" w:cstheme="majorBidi"/>
      <w:b/>
      <w:bCs/>
      <w:color w:val="4F81BD" w:themeColor="accent1"/>
    </w:rPr>
  </w:style>
  <w:style w:type="paragraph" w:styleId="stbilgi">
    <w:name w:val="header"/>
    <w:basedOn w:val="Normal"/>
    <w:link w:val="stbilgiChar"/>
    <w:uiPriority w:val="99"/>
    <w:unhideWhenUsed/>
    <w:rsid w:val="00AC739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C7395"/>
  </w:style>
  <w:style w:type="paragraph" w:styleId="Altbilgi">
    <w:name w:val="footer"/>
    <w:basedOn w:val="Normal"/>
    <w:link w:val="AltbilgiChar"/>
    <w:uiPriority w:val="99"/>
    <w:unhideWhenUsed/>
    <w:rsid w:val="00AC739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C7395"/>
  </w:style>
  <w:style w:type="paragraph" w:styleId="ListeParagraf">
    <w:name w:val="List Paragraph"/>
    <w:basedOn w:val="Normal"/>
    <w:uiPriority w:val="34"/>
    <w:qFormat/>
    <w:rsid w:val="009D6C9A"/>
    <w:pPr>
      <w:ind w:left="720"/>
      <w:contextualSpacing/>
    </w:pPr>
  </w:style>
  <w:style w:type="table" w:styleId="AkListe-Vurgu1">
    <w:name w:val="Light List Accent 1"/>
    <w:basedOn w:val="NormalTablo"/>
    <w:uiPriority w:val="61"/>
    <w:rsid w:val="002B09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9A"/>
  </w:style>
  <w:style w:type="paragraph" w:styleId="Balk2">
    <w:name w:val="heading 2"/>
    <w:basedOn w:val="Normal"/>
    <w:link w:val="Balk2Char"/>
    <w:uiPriority w:val="9"/>
    <w:qFormat/>
    <w:rsid w:val="00921DE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3F51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21DE2"/>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921D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1DE2"/>
    <w:rPr>
      <w:rFonts w:ascii="Tahoma" w:hAnsi="Tahoma" w:cs="Tahoma"/>
      <w:sz w:val="16"/>
      <w:szCs w:val="16"/>
    </w:rPr>
  </w:style>
  <w:style w:type="table" w:styleId="TabloKlavuzu">
    <w:name w:val="Table Grid"/>
    <w:basedOn w:val="NormalTablo"/>
    <w:uiPriority w:val="59"/>
    <w:rsid w:val="0092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1">
    <w:name w:val="Light Shading Accent 1"/>
    <w:basedOn w:val="NormalTablo"/>
    <w:uiPriority w:val="60"/>
    <w:rsid w:val="00D45E2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Kpr">
    <w:name w:val="Hyperlink"/>
    <w:basedOn w:val="VarsaylanParagrafYazTipi"/>
    <w:uiPriority w:val="99"/>
    <w:unhideWhenUsed/>
    <w:rsid w:val="00EE31EF"/>
    <w:rPr>
      <w:color w:val="0000FF"/>
      <w:u w:val="single"/>
    </w:rPr>
  </w:style>
  <w:style w:type="character" w:customStyle="1" w:styleId="Balk3Char">
    <w:name w:val="Başlık 3 Char"/>
    <w:basedOn w:val="VarsaylanParagrafYazTipi"/>
    <w:link w:val="Balk3"/>
    <w:uiPriority w:val="9"/>
    <w:semiHidden/>
    <w:rsid w:val="003F51AF"/>
    <w:rPr>
      <w:rFonts w:asciiTheme="majorHAnsi" w:eastAsiaTheme="majorEastAsia" w:hAnsiTheme="majorHAnsi" w:cstheme="majorBidi"/>
      <w:b/>
      <w:bCs/>
      <w:color w:val="4F81BD" w:themeColor="accent1"/>
    </w:rPr>
  </w:style>
  <w:style w:type="paragraph" w:styleId="stbilgi">
    <w:name w:val="header"/>
    <w:basedOn w:val="Normal"/>
    <w:link w:val="stbilgiChar"/>
    <w:uiPriority w:val="99"/>
    <w:unhideWhenUsed/>
    <w:rsid w:val="00AC739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C7395"/>
  </w:style>
  <w:style w:type="paragraph" w:styleId="Altbilgi">
    <w:name w:val="footer"/>
    <w:basedOn w:val="Normal"/>
    <w:link w:val="AltbilgiChar"/>
    <w:uiPriority w:val="99"/>
    <w:unhideWhenUsed/>
    <w:rsid w:val="00AC739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C7395"/>
  </w:style>
  <w:style w:type="paragraph" w:styleId="ListeParagraf">
    <w:name w:val="List Paragraph"/>
    <w:basedOn w:val="Normal"/>
    <w:uiPriority w:val="34"/>
    <w:qFormat/>
    <w:rsid w:val="009D6C9A"/>
    <w:pPr>
      <w:ind w:left="720"/>
      <w:contextualSpacing/>
    </w:pPr>
  </w:style>
  <w:style w:type="table" w:styleId="AkListe-Vurgu1">
    <w:name w:val="Light List Accent 1"/>
    <w:basedOn w:val="NormalTablo"/>
    <w:uiPriority w:val="61"/>
    <w:rsid w:val="002B09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7841">
      <w:bodyDiv w:val="1"/>
      <w:marLeft w:val="0"/>
      <w:marRight w:val="0"/>
      <w:marTop w:val="0"/>
      <w:marBottom w:val="0"/>
      <w:divBdr>
        <w:top w:val="none" w:sz="0" w:space="0" w:color="auto"/>
        <w:left w:val="none" w:sz="0" w:space="0" w:color="auto"/>
        <w:bottom w:val="none" w:sz="0" w:space="0" w:color="auto"/>
        <w:right w:val="none" w:sz="0" w:space="0" w:color="auto"/>
      </w:divBdr>
    </w:div>
    <w:div w:id="355542505">
      <w:bodyDiv w:val="1"/>
      <w:marLeft w:val="0"/>
      <w:marRight w:val="0"/>
      <w:marTop w:val="0"/>
      <w:marBottom w:val="0"/>
      <w:divBdr>
        <w:top w:val="none" w:sz="0" w:space="0" w:color="auto"/>
        <w:left w:val="none" w:sz="0" w:space="0" w:color="auto"/>
        <w:bottom w:val="none" w:sz="0" w:space="0" w:color="auto"/>
        <w:right w:val="none" w:sz="0" w:space="0" w:color="auto"/>
      </w:divBdr>
    </w:div>
    <w:div w:id="694425639">
      <w:bodyDiv w:val="1"/>
      <w:marLeft w:val="0"/>
      <w:marRight w:val="0"/>
      <w:marTop w:val="0"/>
      <w:marBottom w:val="0"/>
      <w:divBdr>
        <w:top w:val="none" w:sz="0" w:space="0" w:color="auto"/>
        <w:left w:val="none" w:sz="0" w:space="0" w:color="auto"/>
        <w:bottom w:val="none" w:sz="0" w:space="0" w:color="auto"/>
        <w:right w:val="none" w:sz="0" w:space="0" w:color="auto"/>
      </w:divBdr>
    </w:div>
    <w:div w:id="710542778">
      <w:bodyDiv w:val="1"/>
      <w:marLeft w:val="0"/>
      <w:marRight w:val="0"/>
      <w:marTop w:val="0"/>
      <w:marBottom w:val="0"/>
      <w:divBdr>
        <w:top w:val="none" w:sz="0" w:space="0" w:color="auto"/>
        <w:left w:val="none" w:sz="0" w:space="0" w:color="auto"/>
        <w:bottom w:val="none" w:sz="0" w:space="0" w:color="auto"/>
        <w:right w:val="none" w:sz="0" w:space="0" w:color="auto"/>
      </w:divBdr>
    </w:div>
    <w:div w:id="861364511">
      <w:bodyDiv w:val="1"/>
      <w:marLeft w:val="0"/>
      <w:marRight w:val="0"/>
      <w:marTop w:val="0"/>
      <w:marBottom w:val="0"/>
      <w:divBdr>
        <w:top w:val="none" w:sz="0" w:space="0" w:color="auto"/>
        <w:left w:val="none" w:sz="0" w:space="0" w:color="auto"/>
        <w:bottom w:val="none" w:sz="0" w:space="0" w:color="auto"/>
        <w:right w:val="none" w:sz="0" w:space="0" w:color="auto"/>
      </w:divBdr>
      <w:divsChild>
        <w:div w:id="1615792006">
          <w:marLeft w:val="0"/>
          <w:marRight w:val="0"/>
          <w:marTop w:val="0"/>
          <w:marBottom w:val="0"/>
          <w:divBdr>
            <w:top w:val="none" w:sz="0" w:space="0" w:color="auto"/>
            <w:left w:val="none" w:sz="0" w:space="0" w:color="auto"/>
            <w:bottom w:val="none" w:sz="0" w:space="0" w:color="auto"/>
            <w:right w:val="none" w:sz="0" w:space="0" w:color="auto"/>
          </w:divBdr>
          <w:divsChild>
            <w:div w:id="87965096">
              <w:marLeft w:val="0"/>
              <w:marRight w:val="0"/>
              <w:marTop w:val="0"/>
              <w:marBottom w:val="0"/>
              <w:divBdr>
                <w:top w:val="none" w:sz="0" w:space="0" w:color="auto"/>
                <w:left w:val="none" w:sz="0" w:space="0" w:color="auto"/>
                <w:bottom w:val="none" w:sz="0" w:space="0" w:color="auto"/>
                <w:right w:val="none" w:sz="0" w:space="0" w:color="auto"/>
              </w:divBdr>
            </w:div>
            <w:div w:id="421613469">
              <w:marLeft w:val="0"/>
              <w:marRight w:val="0"/>
              <w:marTop w:val="0"/>
              <w:marBottom w:val="0"/>
              <w:divBdr>
                <w:top w:val="none" w:sz="0" w:space="0" w:color="auto"/>
                <w:left w:val="none" w:sz="0" w:space="0" w:color="auto"/>
                <w:bottom w:val="none" w:sz="0" w:space="0" w:color="auto"/>
                <w:right w:val="none" w:sz="0" w:space="0" w:color="auto"/>
              </w:divBdr>
            </w:div>
            <w:div w:id="15857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402">
      <w:bodyDiv w:val="1"/>
      <w:marLeft w:val="0"/>
      <w:marRight w:val="0"/>
      <w:marTop w:val="0"/>
      <w:marBottom w:val="0"/>
      <w:divBdr>
        <w:top w:val="none" w:sz="0" w:space="0" w:color="auto"/>
        <w:left w:val="none" w:sz="0" w:space="0" w:color="auto"/>
        <w:bottom w:val="none" w:sz="0" w:space="0" w:color="auto"/>
        <w:right w:val="none" w:sz="0" w:space="0" w:color="auto"/>
      </w:divBdr>
    </w:div>
    <w:div w:id="1875803017">
      <w:bodyDiv w:val="1"/>
      <w:marLeft w:val="0"/>
      <w:marRight w:val="0"/>
      <w:marTop w:val="0"/>
      <w:marBottom w:val="0"/>
      <w:divBdr>
        <w:top w:val="none" w:sz="0" w:space="0" w:color="auto"/>
        <w:left w:val="none" w:sz="0" w:space="0" w:color="auto"/>
        <w:bottom w:val="none" w:sz="0" w:space="0" w:color="auto"/>
        <w:right w:val="none" w:sz="0" w:space="0" w:color="auto"/>
      </w:divBdr>
    </w:div>
    <w:div w:id="21051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smigazete.gov.tr/eskiler/2014/11/20141104-2.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344774E9AC4EFF821AF3DAF4439CA7"/>
        <w:category>
          <w:name w:val="Genel"/>
          <w:gallery w:val="placeholder"/>
        </w:category>
        <w:types>
          <w:type w:val="bbPlcHdr"/>
        </w:types>
        <w:behaviors>
          <w:behavior w:val="content"/>
        </w:behaviors>
        <w:guid w:val="{C662FE9C-776B-4523-A832-C8C281117AF2}"/>
      </w:docPartPr>
      <w:docPartBody>
        <w:p w:rsidR="00AA5DD7" w:rsidRDefault="00B71A4D" w:rsidP="00B71A4D">
          <w:pPr>
            <w:pStyle w:val="82344774E9AC4EFF821AF3DAF4439CA7"/>
          </w:pPr>
          <w:r>
            <w:t>[Yazar adını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4D"/>
    <w:rsid w:val="00197285"/>
    <w:rsid w:val="002269F0"/>
    <w:rsid w:val="004A12D2"/>
    <w:rsid w:val="005376C0"/>
    <w:rsid w:val="006E7B29"/>
    <w:rsid w:val="007357EC"/>
    <w:rsid w:val="00894ED7"/>
    <w:rsid w:val="0096190C"/>
    <w:rsid w:val="00AA5DD7"/>
    <w:rsid w:val="00B4241C"/>
    <w:rsid w:val="00B5757C"/>
    <w:rsid w:val="00B71A4D"/>
    <w:rsid w:val="00DA2B13"/>
    <w:rsid w:val="00E441FD"/>
    <w:rsid w:val="00F20F5C"/>
    <w:rsid w:val="00FA5B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82344774E9AC4EFF821AF3DAF4439CA7">
    <w:name w:val="82344774E9AC4EFF821AF3DAF4439CA7"/>
    <w:rsid w:val="00B71A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82344774E9AC4EFF821AF3DAF4439CA7">
    <w:name w:val="82344774E9AC4EFF821AF3DAF4439CA7"/>
    <w:rsid w:val="00B71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DD42D-5F46-4887-9EFA-C07988B6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2</Pages>
  <Words>712</Words>
  <Characters>4064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Ekonomik Araştırmalar ve Proje Müdürlüğü</dc:creator>
  <cp:keywords/>
  <dc:description/>
  <cp:lastModifiedBy>BIM02</cp:lastModifiedBy>
  <cp:revision>47</cp:revision>
  <cp:lastPrinted>2015-01-12T14:33:00Z</cp:lastPrinted>
  <dcterms:created xsi:type="dcterms:W3CDTF">2014-08-11T13:15:00Z</dcterms:created>
  <dcterms:modified xsi:type="dcterms:W3CDTF">2015-01-13T12:37:00Z</dcterms:modified>
</cp:coreProperties>
</file>