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C" w:rsidRDefault="003F300C" w:rsidP="004C3B5E">
      <w:pPr>
        <w:pStyle w:val="NormalWeb"/>
        <w:shd w:val="clear" w:color="auto" w:fill="FFFFFF"/>
        <w:spacing w:before="0" w:beforeAutospacing="0" w:after="150" w:afterAutospacing="0"/>
        <w:jc w:val="center"/>
        <w:rPr>
          <w:rStyle w:val="Gl"/>
          <w:rFonts w:ascii="Arial" w:hAnsi="Arial" w:cs="Arial"/>
          <w:color w:val="6B6B6B"/>
          <w:sz w:val="21"/>
          <w:szCs w:val="21"/>
        </w:rPr>
      </w:pPr>
      <w:r>
        <w:rPr>
          <w:rStyle w:val="Gl"/>
          <w:rFonts w:ascii="Arial" w:hAnsi="Arial" w:cs="Arial"/>
          <w:color w:val="6B6B6B"/>
          <w:sz w:val="21"/>
          <w:szCs w:val="21"/>
        </w:rPr>
        <w:t>ANONİŞM ŞİRKETLERİN GENEL KURUL TOPLANTILARININ USUL VE ESASLARI İLE BU TOPLANTILARDA BULUNACAK GÜMRÜK VE</w:t>
      </w:r>
      <w:bookmarkStart w:id="0" w:name="_GoBack"/>
      <w:bookmarkEnd w:id="0"/>
      <w:r>
        <w:rPr>
          <w:rStyle w:val="Gl"/>
          <w:rFonts w:ascii="Arial" w:hAnsi="Arial" w:cs="Arial"/>
          <w:color w:val="6B6B6B"/>
          <w:sz w:val="21"/>
          <w:szCs w:val="21"/>
        </w:rPr>
        <w:t xml:space="preserve"> TİCARET BAKANLIĞI TEMSİLCİLERİ HAKKINDA YÖNETMELİK</w:t>
      </w:r>
    </w:p>
    <w:p w:rsidR="004C3B5E" w:rsidRDefault="004C3B5E" w:rsidP="004C3B5E">
      <w:pPr>
        <w:pStyle w:val="NormalWeb"/>
        <w:shd w:val="clear" w:color="auto" w:fill="FFFFFF"/>
        <w:spacing w:before="0" w:beforeAutospacing="0" w:after="150" w:afterAutospacing="0"/>
        <w:jc w:val="center"/>
        <w:rPr>
          <w:rFonts w:ascii="Arial" w:hAnsi="Arial" w:cs="Arial"/>
          <w:color w:val="6B6B6B"/>
          <w:sz w:val="21"/>
          <w:szCs w:val="21"/>
        </w:rPr>
      </w:pPr>
      <w:r>
        <w:rPr>
          <w:rStyle w:val="Gl"/>
          <w:rFonts w:ascii="Arial" w:hAnsi="Arial" w:cs="Arial"/>
          <w:color w:val="6B6B6B"/>
          <w:sz w:val="21"/>
          <w:szCs w:val="21"/>
        </w:rPr>
        <w:t>Bakanlık Temsilciliğine İlişkin Esaslar</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Style w:val="Gl"/>
          <w:rFonts w:ascii="Arial" w:hAnsi="Arial" w:cs="Arial"/>
          <w:color w:val="6B6B6B"/>
          <w:sz w:val="21"/>
          <w:szCs w:val="21"/>
        </w:rPr>
        <w:t>Bakanlık temsilcisi bulundurma zorunluluğu</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Style w:val="Gl"/>
          <w:rFonts w:ascii="Arial" w:hAnsi="Arial" w:cs="Arial"/>
          <w:color w:val="6B6B6B"/>
          <w:sz w:val="21"/>
          <w:szCs w:val="21"/>
        </w:rPr>
        <w:t>MADDE 32 – </w:t>
      </w:r>
      <w:r>
        <w:rPr>
          <w:rFonts w:ascii="Arial" w:hAnsi="Arial" w:cs="Arial"/>
          <w:color w:val="6B6B6B"/>
          <w:sz w:val="21"/>
          <w:szCs w:val="21"/>
        </w:rPr>
        <w:t>(1) Aşağıda sayılan genel kurul toplantılarında ve bunların ertelenmesi halinde yapılacak ikinci toplantılarda Bakanlık temsilcisinin bulunması zorunludur:</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a) Kuruluş ve esas sözleşme değişikliği işlemleri Bakanlık iznine tabi olan şirketlerin bütün genel kurul toplantılarında, diğer şirketlerde ise gündeminde, sermayenin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b) Genel kurula elektronik ortamda katılım sistemini uygulayan şirketlerin genel kurul toplantılarında.</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c) Yurt dışında yapılacak bütün genel kurul toplantılarında.</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ç) Yurt dışında yapılacak imtiyazlı pay sahipleri özel kurul toplantılarında.</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(2) Birinci fıkrada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Bakanlık temsilcisi görevlendirilir.</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(3) Bakanlık temsilcisi bulunması zorunlu olmayan toplantılar için, çağrı yapanlar dışındakilerin Bakanlık temsilcisi görevlendirilmesine ilişkin görevlendirme makamına doğrudan yapacakları başvurular dikkate alınmaz. Ancak sermayenin en az onda birini oluşturan pay sahipleri tarafından gerekçeleri de bildirilmek suretiyle Bakanlık temsilcisi görevlendirilmesine dair talep, görevlendirme makamının değerlendirilmesine sunulmak üzere şirkete yapılır. Toplantıya</w:t>
      </w:r>
      <w:r w:rsidR="006317F0">
        <w:rPr>
          <w:rFonts w:ascii="Arial" w:hAnsi="Arial" w:cs="Arial"/>
          <w:color w:val="6B6B6B"/>
          <w:sz w:val="21"/>
          <w:szCs w:val="21"/>
        </w:rPr>
        <w:t xml:space="preserve"> </w:t>
      </w:r>
      <w:r>
        <w:rPr>
          <w:rFonts w:ascii="Arial" w:hAnsi="Arial" w:cs="Arial"/>
          <w:color w:val="6B6B6B"/>
          <w:sz w:val="21"/>
          <w:szCs w:val="21"/>
        </w:rPr>
        <w:t>çağıranlar tarafından bu talebin görevlendirme makamına iletilmesi zorunludur.</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(4) Birinci fıkrada belirtilen toplantılar ile ikinci ve üçüncü fıkralar uyarınca Bakanlık temsilcisi görevlendirilen toplantılarda, Bakanlık temsilcisinin yokluğunda alınan kararlar geçerli değildir.</w:t>
      </w:r>
    </w:p>
    <w:p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(5) Şirket genel kurullarında Bakanlık temsilcisi olarak görevlendirilenler, görevlendiren makam tarafından ilgili ticaret sicili müdürlüğüne bildirilir.</w:t>
      </w:r>
    </w:p>
    <w:p w:rsidR="00CB02B0" w:rsidRDefault="00CB02B0"/>
    <w:sectPr w:rsidR="00CB0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E3"/>
    <w:rsid w:val="001109B9"/>
    <w:rsid w:val="002510E3"/>
    <w:rsid w:val="003F300C"/>
    <w:rsid w:val="004C3B5E"/>
    <w:rsid w:val="006317F0"/>
    <w:rsid w:val="00CB0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3B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B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3B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TSCL01</cp:lastModifiedBy>
  <cp:revision>5</cp:revision>
  <dcterms:created xsi:type="dcterms:W3CDTF">2019-12-14T09:54:00Z</dcterms:created>
  <dcterms:modified xsi:type="dcterms:W3CDTF">2019-12-14T10:00:00Z</dcterms:modified>
</cp:coreProperties>
</file>